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3A9C" w14:textId="77777777" w:rsidR="00351F17" w:rsidRDefault="00351F17" w:rsidP="00351F17">
      <w:pPr>
        <w:spacing w:after="161" w:line="259" w:lineRule="auto"/>
        <w:ind w:left="0" w:right="58" w:firstLine="0"/>
        <w:rPr>
          <w:b/>
          <w:sz w:val="44"/>
          <w:u w:val="single" w:color="000000"/>
        </w:rPr>
      </w:pPr>
    </w:p>
    <w:p w14:paraId="679178E8" w14:textId="55974627" w:rsidR="00B507DC" w:rsidRDefault="00E706E6">
      <w:pPr>
        <w:spacing w:after="161" w:line="259" w:lineRule="auto"/>
        <w:ind w:left="0" w:right="58" w:firstLine="0"/>
        <w:jc w:val="center"/>
      </w:pPr>
      <w:r>
        <w:rPr>
          <w:b/>
          <w:sz w:val="44"/>
          <w:u w:val="single" w:color="000000"/>
        </w:rPr>
        <w:t>PLAN :</w:t>
      </w:r>
      <w:r>
        <w:rPr>
          <w:b/>
          <w:sz w:val="44"/>
        </w:rPr>
        <w:t xml:space="preserve"> </w:t>
      </w:r>
    </w:p>
    <w:p w14:paraId="52D84B06" w14:textId="77777777" w:rsidR="00B507DC" w:rsidRDefault="00E706E6">
      <w:pPr>
        <w:spacing w:line="259" w:lineRule="auto"/>
      </w:pPr>
      <w:r>
        <w:rPr>
          <w:b/>
          <w:sz w:val="44"/>
        </w:rPr>
        <w:t xml:space="preserve">Introduction : </w:t>
      </w:r>
    </w:p>
    <w:p w14:paraId="4EC310DA" w14:textId="77777777" w:rsidR="00B507DC" w:rsidRDefault="00E706E6">
      <w:pPr>
        <w:spacing w:line="259" w:lineRule="auto"/>
        <w:ind w:left="0" w:firstLine="0"/>
      </w:pPr>
      <w:r>
        <w:rPr>
          <w:b/>
          <w:sz w:val="44"/>
        </w:rPr>
        <w:t xml:space="preserve"> </w:t>
      </w:r>
    </w:p>
    <w:p w14:paraId="2C6A55B6" w14:textId="77777777" w:rsidR="00B507DC" w:rsidRDefault="00E706E6">
      <w:pPr>
        <w:spacing w:after="228" w:line="259" w:lineRule="auto"/>
        <w:ind w:left="-5"/>
      </w:pPr>
      <w:r>
        <w:rPr>
          <w:b/>
          <w:sz w:val="44"/>
        </w:rPr>
        <w:t xml:space="preserve">I-L ’apport et l’établissement du Prix de Revient  </w:t>
      </w:r>
    </w:p>
    <w:p w14:paraId="0666EAC8" w14:textId="77777777" w:rsidR="00B507DC" w:rsidRDefault="00E706E6">
      <w:pPr>
        <w:numPr>
          <w:ilvl w:val="0"/>
          <w:numId w:val="1"/>
        </w:numPr>
        <w:spacing w:after="0" w:line="259" w:lineRule="auto"/>
        <w:ind w:left="757" w:hanging="404"/>
      </w:pPr>
      <w:r>
        <w:rPr>
          <w:b/>
          <w:sz w:val="44"/>
        </w:rPr>
        <w:t xml:space="preserve">L ’utilité et l’établissement du Prix de </w:t>
      </w:r>
    </w:p>
    <w:p w14:paraId="3549AEF5" w14:textId="77777777" w:rsidR="00B507DC" w:rsidRDefault="00E706E6">
      <w:pPr>
        <w:spacing w:after="67" w:line="259" w:lineRule="auto"/>
        <w:ind w:left="774"/>
      </w:pPr>
      <w:r>
        <w:rPr>
          <w:b/>
          <w:sz w:val="44"/>
        </w:rPr>
        <w:t xml:space="preserve">Revient dans la gestion publique </w:t>
      </w:r>
    </w:p>
    <w:p w14:paraId="66C9BE99" w14:textId="77777777" w:rsidR="00B507DC" w:rsidRDefault="00E706E6">
      <w:pPr>
        <w:numPr>
          <w:ilvl w:val="0"/>
          <w:numId w:val="1"/>
        </w:numPr>
        <w:spacing w:line="259" w:lineRule="auto"/>
        <w:ind w:left="757" w:hanging="404"/>
      </w:pPr>
      <w:r>
        <w:rPr>
          <w:b/>
          <w:sz w:val="44"/>
        </w:rPr>
        <w:t xml:space="preserve">La différence entre Prix de Revient Standard et Prix de Revient par activité </w:t>
      </w:r>
    </w:p>
    <w:p w14:paraId="64A1EC5D" w14:textId="483F5C42" w:rsidR="00B507DC" w:rsidRDefault="00E706E6">
      <w:pPr>
        <w:spacing w:after="226" w:line="259" w:lineRule="auto"/>
      </w:pPr>
      <w:r>
        <w:rPr>
          <w:b/>
          <w:sz w:val="44"/>
        </w:rPr>
        <w:t>II-Différentes bases de fi</w:t>
      </w:r>
      <w:r w:rsidR="00870EBB">
        <w:rPr>
          <w:b/>
          <w:sz w:val="44"/>
        </w:rPr>
        <w:t>nancement des services publics</w:t>
      </w:r>
      <w:r w:rsidR="00882F12">
        <w:rPr>
          <w:b/>
          <w:sz w:val="44"/>
        </w:rPr>
        <w:t xml:space="preserve"> </w:t>
      </w:r>
      <w:r w:rsidR="0057761E">
        <w:rPr>
          <w:b/>
          <w:sz w:val="44"/>
        </w:rPr>
        <w:t xml:space="preserve">   v </w:t>
      </w:r>
      <w:bookmarkStart w:id="0" w:name="_GoBack"/>
      <w:bookmarkEnd w:id="0"/>
      <w:r>
        <w:rPr>
          <w:b/>
          <w:sz w:val="44"/>
        </w:rPr>
        <w:t xml:space="preserve"> </w:t>
      </w:r>
    </w:p>
    <w:p w14:paraId="32F5A47F" w14:textId="77777777" w:rsidR="00B507DC" w:rsidRDefault="00E706E6">
      <w:pPr>
        <w:numPr>
          <w:ilvl w:val="0"/>
          <w:numId w:val="2"/>
        </w:numPr>
        <w:spacing w:after="68" w:line="259" w:lineRule="auto"/>
        <w:ind w:hanging="404"/>
      </w:pPr>
      <w:r>
        <w:rPr>
          <w:b/>
          <w:sz w:val="44"/>
        </w:rPr>
        <w:t xml:space="preserve">Les recettes fiscales </w:t>
      </w:r>
    </w:p>
    <w:p w14:paraId="14B46784" w14:textId="40A7942F" w:rsidR="00B507DC" w:rsidRPr="0091556D" w:rsidRDefault="00E706E6">
      <w:pPr>
        <w:numPr>
          <w:ilvl w:val="0"/>
          <w:numId w:val="2"/>
        </w:numPr>
        <w:spacing w:line="259" w:lineRule="auto"/>
        <w:ind w:hanging="404"/>
      </w:pPr>
      <w:r>
        <w:rPr>
          <w:b/>
          <w:sz w:val="44"/>
        </w:rPr>
        <w:t>Les recettes non fiscales</w:t>
      </w:r>
      <w:r>
        <w:rPr>
          <w:sz w:val="44"/>
        </w:rPr>
        <w:t xml:space="preserve"> </w:t>
      </w:r>
    </w:p>
    <w:p w14:paraId="77ECA623" w14:textId="4CAE8F77" w:rsidR="0091556D" w:rsidRDefault="0091556D" w:rsidP="0091556D">
      <w:pPr>
        <w:spacing w:line="259" w:lineRule="auto"/>
        <w:rPr>
          <w:sz w:val="44"/>
        </w:rPr>
      </w:pPr>
    </w:p>
    <w:p w14:paraId="5FC2A0B8" w14:textId="489CA08A" w:rsidR="0091556D" w:rsidRDefault="0091556D" w:rsidP="0091556D">
      <w:pPr>
        <w:spacing w:line="259" w:lineRule="auto"/>
        <w:rPr>
          <w:sz w:val="44"/>
        </w:rPr>
      </w:pPr>
    </w:p>
    <w:p w14:paraId="3BC7A4FA" w14:textId="7510D24D" w:rsidR="0091556D" w:rsidRDefault="0091556D" w:rsidP="0091556D">
      <w:pPr>
        <w:spacing w:line="259" w:lineRule="auto"/>
        <w:rPr>
          <w:sz w:val="44"/>
        </w:rPr>
      </w:pPr>
    </w:p>
    <w:p w14:paraId="2160B8C1" w14:textId="169C836E" w:rsidR="0091556D" w:rsidRDefault="0091556D" w:rsidP="0091556D">
      <w:pPr>
        <w:spacing w:line="259" w:lineRule="auto"/>
        <w:rPr>
          <w:sz w:val="44"/>
        </w:rPr>
      </w:pPr>
    </w:p>
    <w:p w14:paraId="0D6AD919" w14:textId="57174828" w:rsidR="0091556D" w:rsidRDefault="0091556D" w:rsidP="0091556D">
      <w:pPr>
        <w:spacing w:line="259" w:lineRule="auto"/>
        <w:rPr>
          <w:sz w:val="44"/>
        </w:rPr>
      </w:pPr>
    </w:p>
    <w:p w14:paraId="33380996" w14:textId="07D49E48" w:rsidR="0091556D" w:rsidRDefault="0091556D" w:rsidP="0091556D">
      <w:pPr>
        <w:spacing w:line="259" w:lineRule="auto"/>
        <w:rPr>
          <w:sz w:val="44"/>
        </w:rPr>
      </w:pPr>
    </w:p>
    <w:p w14:paraId="1ED137FF" w14:textId="791ECF0F" w:rsidR="00B507DC" w:rsidRDefault="00B507DC" w:rsidP="0091556D">
      <w:pPr>
        <w:spacing w:after="0" w:line="259" w:lineRule="auto"/>
        <w:ind w:left="0" w:firstLine="0"/>
      </w:pPr>
    </w:p>
    <w:p w14:paraId="2DFA5F19" w14:textId="77777777" w:rsidR="0091556D" w:rsidRDefault="0091556D" w:rsidP="0091556D">
      <w:pPr>
        <w:spacing w:after="0" w:line="259" w:lineRule="auto"/>
        <w:ind w:left="0" w:firstLine="0"/>
      </w:pPr>
    </w:p>
    <w:p w14:paraId="5B5DE230" w14:textId="77777777" w:rsidR="00B507DC" w:rsidRDefault="00E706E6">
      <w:pPr>
        <w:spacing w:after="0" w:line="259" w:lineRule="auto"/>
        <w:ind w:left="0" w:firstLine="0"/>
      </w:pPr>
      <w:r>
        <w:rPr>
          <w:b/>
          <w:sz w:val="20"/>
        </w:rPr>
        <w:t xml:space="preserve"> </w:t>
      </w:r>
    </w:p>
    <w:p w14:paraId="77CD1739" w14:textId="77777777" w:rsidR="0091556D" w:rsidRDefault="00E706E6" w:rsidP="009B5E17">
      <w:pPr>
        <w:ind w:left="-284" w:right="68"/>
        <w:jc w:val="both"/>
      </w:pPr>
      <w:r w:rsidRPr="0091556D">
        <w:rPr>
          <w:b/>
          <w:bCs/>
        </w:rPr>
        <w:t>Introduction</w:t>
      </w:r>
      <w:r>
        <w:t xml:space="preserve"> : </w:t>
      </w:r>
    </w:p>
    <w:p w14:paraId="3BBB4040" w14:textId="64028D5E" w:rsidR="00B507DC" w:rsidRDefault="0091556D" w:rsidP="009B5E17">
      <w:pPr>
        <w:ind w:left="-284" w:right="68"/>
        <w:jc w:val="both"/>
      </w:pPr>
      <w:r>
        <w:t>Le prix de revient représente la somme totale des coûts engagés pour la production et la distribution d’un service ou d’un bien public, il inclut toutes les dépenses engagées</w:t>
      </w:r>
      <w:r w:rsidR="00E706E6">
        <w:t xml:space="preserve"> </w:t>
      </w:r>
    </w:p>
    <w:p w14:paraId="2C482543" w14:textId="198E26EC" w:rsidR="00B507DC" w:rsidRDefault="00E706E6" w:rsidP="009B5E17">
      <w:pPr>
        <w:ind w:left="-284" w:right="68"/>
        <w:jc w:val="both"/>
      </w:pPr>
      <w:r>
        <w:t xml:space="preserve">Dans le cadre de la gestion des finances publiques, la maîtrise des coûts constitue un enjeu majeur pour garantir l’efficacité et l’équité des services offerts à la population.  </w:t>
      </w:r>
    </w:p>
    <w:p w14:paraId="167493F0" w14:textId="4879098C" w:rsidR="00B507DC" w:rsidRDefault="00E706E6" w:rsidP="009B5E17">
      <w:pPr>
        <w:ind w:left="-284" w:right="61"/>
        <w:jc w:val="both"/>
      </w:pPr>
      <w:r>
        <w:t xml:space="preserve">Dans un contexte de restrictions budgétaires et d’exigences accrues en termes de transparence et d’efficience, la gestion des finances publiques doit s’appuyer sur des outils analytiques robustes. </w:t>
      </w:r>
    </w:p>
    <w:p w14:paraId="14101914" w14:textId="03E660BD" w:rsidR="00B507DC" w:rsidRDefault="00E706E6" w:rsidP="009B5E17">
      <w:pPr>
        <w:spacing w:after="0"/>
        <w:ind w:left="-284" w:right="68"/>
        <w:jc w:val="both"/>
      </w:pPr>
      <w:r>
        <w:t>Beaucoup d’entreprises d'État se sont mises à la comptabilité analytique à partir de la fin des années 1980. La Banque de France met en place la première comptabilité analytique permettant de connaître avec une fiabilité suffisante le prix de revient des billets à la fin des années 1980. Le coût révélé fut tellement plus haut que ce que croyait la direction que des plans de modernisation drastiques furent mis en place pour le réduire, conduisant à une</w:t>
      </w:r>
      <w:r w:rsidR="005E3888">
        <w:t xml:space="preserve"> </w:t>
      </w:r>
      <w:r>
        <w:t xml:space="preserve">restructuration complète des processus de production de billets à Chamalières et à l'usine de fabrication de papier. </w:t>
      </w:r>
    </w:p>
    <w:p w14:paraId="1166D2E9" w14:textId="08876077" w:rsidR="00B507DC" w:rsidRDefault="00E706E6" w:rsidP="009B5E17">
      <w:pPr>
        <w:ind w:left="-284" w:right="68"/>
        <w:jc w:val="both"/>
      </w:pPr>
      <w:r>
        <w:t xml:space="preserve"> La </w:t>
      </w:r>
      <w:proofErr w:type="spellStart"/>
      <w:r>
        <w:t>Sealink</w:t>
      </w:r>
      <w:proofErr w:type="spellEnd"/>
      <w:r>
        <w:t xml:space="preserve">, filiale de la SNCF (SOCIETE NATIONALE DES CHEMINS DE FER), met en place un système de contrôle analytique informatisé des résultats de chaque bateau de sa flotte au milieu des années 1980. Les résultats sortent immédiatement à la fin de chaque traversée et de chaque « marée » pour les bateaux équipés. Jusque-là, les résultats d'ensemble n'étaient connus qu'en fin d'année et noyés dans ceux de la SNCF. L'amélioration des résultats a été spectaculaire. </w:t>
      </w:r>
    </w:p>
    <w:p w14:paraId="30B5EBA5" w14:textId="77777777" w:rsidR="00B507DC" w:rsidRDefault="00E706E6" w:rsidP="009B5E17">
      <w:pPr>
        <w:ind w:left="-284" w:right="68"/>
        <w:jc w:val="both"/>
      </w:pPr>
      <w:r>
        <w:t xml:space="preserve">Contrairement à la comptabilité financière classique, la comptabilité analytique est utilisée pour établir le Prix de Revient. Elle consiste à ventiler les charges en coûts directs (facilement imputable à un service) et les coûts indirects (requérant des clés de répartition) </w:t>
      </w:r>
    </w:p>
    <w:p w14:paraId="4E1DD8DB" w14:textId="77777777" w:rsidR="00B507DC" w:rsidRDefault="00E706E6" w:rsidP="009B5E17">
      <w:pPr>
        <w:ind w:left="-284" w:right="68"/>
        <w:jc w:val="both"/>
      </w:pPr>
      <w:r>
        <w:t xml:space="preserve">Le prix de revient dans la gestion finances revêt une importance prépondérante pour garantir une gestion budgétaire efficace, transparente et orientée vers </w:t>
      </w:r>
      <w:r>
        <w:lastRenderedPageBreak/>
        <w:t xml:space="preserve">l’optimisation des dépenses publiques. Il permet d’évaluer, d’optimiser, et de déterminer les coûts publics. </w:t>
      </w:r>
    </w:p>
    <w:p w14:paraId="6A152113" w14:textId="77777777" w:rsidR="00B507DC" w:rsidRDefault="00E706E6" w:rsidP="009B5E17">
      <w:pPr>
        <w:spacing w:after="159" w:line="259" w:lineRule="auto"/>
        <w:ind w:left="-284" w:firstLine="0"/>
        <w:jc w:val="both"/>
      </w:pPr>
      <w:r>
        <w:t xml:space="preserve"> </w:t>
      </w:r>
    </w:p>
    <w:p w14:paraId="4822D359" w14:textId="5459A17D" w:rsidR="00B507DC" w:rsidRDefault="00E706E6" w:rsidP="009B5E17">
      <w:pPr>
        <w:ind w:left="-284" w:right="68"/>
        <w:jc w:val="both"/>
      </w:pPr>
      <w:r>
        <w:t xml:space="preserve">Comment le calcul du prix de revient peut-il optimiser la gestion budgétaire et l’allocation des ressources publiques ? </w:t>
      </w:r>
    </w:p>
    <w:p w14:paraId="1F1A2A89" w14:textId="2E2B8D6B" w:rsidR="00B507DC" w:rsidRDefault="00E706E6" w:rsidP="009B5E17">
      <w:pPr>
        <w:ind w:left="-284" w:right="68"/>
        <w:jc w:val="both"/>
      </w:pPr>
      <w:r>
        <w:t xml:space="preserve">Pour la présente partie nous allons voir en : (I) – l’apport et l’établissement du prix de revient, et en (II) les différentes bases de financement des services publiques. </w:t>
      </w:r>
    </w:p>
    <w:p w14:paraId="49DE8856" w14:textId="77777777" w:rsidR="00B507DC" w:rsidRDefault="00E706E6" w:rsidP="009B5E17">
      <w:pPr>
        <w:tabs>
          <w:tab w:val="center" w:pos="439"/>
          <w:tab w:val="center" w:pos="3661"/>
        </w:tabs>
        <w:ind w:left="-284" w:firstLine="0"/>
        <w:jc w:val="both"/>
      </w:pPr>
      <w:r>
        <w:rPr>
          <w:sz w:val="22"/>
        </w:rPr>
        <w:tab/>
      </w:r>
      <w:r>
        <w:t>I-</w:t>
      </w:r>
      <w:r>
        <w:rPr>
          <w:rFonts w:ascii="Arial" w:eastAsia="Arial" w:hAnsi="Arial" w:cs="Arial"/>
        </w:rPr>
        <w:t xml:space="preserve"> </w:t>
      </w:r>
      <w:r>
        <w:rPr>
          <w:rFonts w:ascii="Arial" w:eastAsia="Arial" w:hAnsi="Arial" w:cs="Arial"/>
        </w:rPr>
        <w:tab/>
      </w:r>
      <w:r w:rsidRPr="005E3888">
        <w:rPr>
          <w:b/>
          <w:bCs/>
        </w:rPr>
        <w:t>Apport et l’établissement du Prix de Revient</w:t>
      </w:r>
      <w:r>
        <w:t xml:space="preserve"> : </w:t>
      </w:r>
    </w:p>
    <w:p w14:paraId="05B29E29" w14:textId="33F3EF19" w:rsidR="00B507DC" w:rsidRDefault="00E706E6" w:rsidP="009B5E17">
      <w:pPr>
        <w:ind w:left="-284" w:right="68"/>
        <w:jc w:val="both"/>
      </w:pPr>
      <w:r>
        <w:t xml:space="preserve">Dans cette partie nous allons, expliqué en détails en (A)- l’utilité et l’établissement du Prix de Revient dans la gestion publique, et en (B)- différences entre Prix de Revient Standard et Prix de Revient par activité. </w:t>
      </w:r>
    </w:p>
    <w:p w14:paraId="77BC4A9C" w14:textId="19316BE1" w:rsidR="00B507DC" w:rsidRDefault="00E706E6" w:rsidP="009B5E17">
      <w:pPr>
        <w:spacing w:line="259" w:lineRule="auto"/>
        <w:ind w:left="-284" w:firstLine="0"/>
        <w:jc w:val="both"/>
      </w:pPr>
      <w:r>
        <w:rPr>
          <w:b/>
        </w:rPr>
        <w:t>A-</w:t>
      </w:r>
      <w:r>
        <w:rPr>
          <w:rFonts w:ascii="Arial" w:eastAsia="Arial" w:hAnsi="Arial" w:cs="Arial"/>
          <w:b/>
        </w:rPr>
        <w:t xml:space="preserve"> </w:t>
      </w:r>
      <w:r>
        <w:rPr>
          <w:b/>
          <w:u w:val="single" w:color="000000"/>
        </w:rPr>
        <w:t>L’utilité et l’établissement du Prix de Revient :</w:t>
      </w:r>
      <w:r>
        <w:rPr>
          <w:b/>
        </w:rPr>
        <w:t xml:space="preserve">  </w:t>
      </w:r>
    </w:p>
    <w:p w14:paraId="0D874460" w14:textId="77777777" w:rsidR="00B507DC" w:rsidRDefault="00E706E6" w:rsidP="009B5E17">
      <w:pPr>
        <w:spacing w:after="17"/>
        <w:ind w:left="-284" w:right="61"/>
        <w:jc w:val="both"/>
      </w:pPr>
      <w:proofErr w:type="gramStart"/>
      <w:r>
        <w:t>a</w:t>
      </w:r>
      <w:proofErr w:type="gramEnd"/>
      <w:r>
        <w:t>-</w:t>
      </w:r>
      <w:r>
        <w:rPr>
          <w:rFonts w:ascii="Arial" w:eastAsia="Arial" w:hAnsi="Arial" w:cs="Arial"/>
        </w:rPr>
        <w:t xml:space="preserve"> </w:t>
      </w:r>
      <w:r>
        <w:t xml:space="preserve">Comprendre la nature et l’utilité du prix de revient </w:t>
      </w:r>
    </w:p>
    <w:p w14:paraId="1956DA8A" w14:textId="77777777" w:rsidR="00B507DC" w:rsidRDefault="00E706E6" w:rsidP="009B5E17">
      <w:pPr>
        <w:tabs>
          <w:tab w:val="center" w:pos="720"/>
          <w:tab w:val="center" w:pos="1486"/>
          <w:tab w:val="center" w:pos="3657"/>
        </w:tabs>
        <w:ind w:left="-284" w:firstLine="0"/>
        <w:jc w:val="both"/>
      </w:pPr>
      <w:r>
        <w:rPr>
          <w:sz w:val="22"/>
        </w:rPr>
        <w:tab/>
      </w:r>
      <w:r>
        <w:t xml:space="preserve"> </w:t>
      </w:r>
      <w:r>
        <w:tab/>
        <w:t xml:space="preserve">• </w:t>
      </w:r>
      <w:r>
        <w:tab/>
        <w:t xml:space="preserve">Raisonnement sur l’utilité : </w:t>
      </w:r>
    </w:p>
    <w:p w14:paraId="14ED37ED" w14:textId="19A107C0" w:rsidR="00B507DC" w:rsidRDefault="00E706E6" w:rsidP="009B5E17">
      <w:pPr>
        <w:ind w:left="-284" w:right="61"/>
        <w:jc w:val="both"/>
      </w:pPr>
      <w:r>
        <w:t xml:space="preserve">.  Dans le secteur public, il ne s’agit pas de rechercher le profit, mais d’assurer que les services offerts soient financés de manière à couvrir l’ensemble des dépenses engagées. Cela permet d’établir un tarif minimum garantissant la pérennité financière tout en respectant l’intérêt général. </w:t>
      </w:r>
    </w:p>
    <w:p w14:paraId="6B872B27" w14:textId="77777777" w:rsidR="00B507DC" w:rsidRDefault="00E706E6" w:rsidP="009B5E17">
      <w:pPr>
        <w:ind w:left="-284" w:right="68"/>
        <w:jc w:val="both"/>
      </w:pPr>
      <w:r>
        <w:t xml:space="preserve">Objectif principal : </w:t>
      </w:r>
    </w:p>
    <w:p w14:paraId="3B8F6FE1" w14:textId="77777777" w:rsidR="00B507DC" w:rsidRDefault="00E706E6" w:rsidP="009B5E17">
      <w:pPr>
        <w:ind w:left="-284" w:right="61"/>
        <w:jc w:val="both"/>
      </w:pPr>
      <w:r>
        <w:t xml:space="preserve"> Il sert à déterminer le tarif minimum nécessaire pour couvrir l’ensemble des dépenses, sans chercher la rentabilité au sens commercial puisque, dans le secteur public, l’objectif premier est de satisfaire l’intérêt général. </w:t>
      </w:r>
    </w:p>
    <w:p w14:paraId="08C3D632" w14:textId="77777777" w:rsidR="00B507DC" w:rsidRDefault="00E706E6" w:rsidP="009B5E17">
      <w:pPr>
        <w:ind w:left="-284" w:right="68"/>
        <w:jc w:val="both"/>
      </w:pPr>
      <w:r>
        <w:t xml:space="preserve">Raisonnement </w:t>
      </w:r>
    </w:p>
    <w:p w14:paraId="5BFCEC44" w14:textId="77777777" w:rsidR="00B507DC" w:rsidRDefault="00E706E6" w:rsidP="009B5E17">
      <w:pPr>
        <w:numPr>
          <w:ilvl w:val="0"/>
          <w:numId w:val="3"/>
        </w:numPr>
        <w:ind w:left="-284" w:right="68" w:hanging="360"/>
        <w:jc w:val="both"/>
      </w:pPr>
      <w:r>
        <w:t xml:space="preserve">Optimisation des ressources : En identifiant précisément l’ensemble des coûts (directs et indirects), les gestionnaires peuvent allouer les ressources de manière optimale, réduire le gaspillage et garantir une utilisation efficiente des fonds publics. </w:t>
      </w:r>
    </w:p>
    <w:p w14:paraId="1100DE13" w14:textId="77777777" w:rsidR="00B507DC" w:rsidRDefault="00E706E6" w:rsidP="009B5E17">
      <w:pPr>
        <w:numPr>
          <w:ilvl w:val="0"/>
          <w:numId w:val="3"/>
        </w:numPr>
        <w:ind w:left="-284" w:right="68" w:hanging="360"/>
        <w:jc w:val="both"/>
      </w:pPr>
      <w:r>
        <w:t xml:space="preserve">Transparence et équité : La méthode de calcul du prix de revient permet d’instaurer un climat de transparence, en justifiant les tarifs appliqués et en assurant un traitement égalitaire entre les usagers. </w:t>
      </w:r>
      <w:proofErr w:type="gramStart"/>
      <w:r>
        <w:t>b</w:t>
      </w:r>
      <w:proofErr w:type="gramEnd"/>
      <w:r>
        <w:t>-</w:t>
      </w:r>
      <w:r>
        <w:rPr>
          <w:rFonts w:ascii="Arial" w:eastAsia="Arial" w:hAnsi="Arial" w:cs="Arial"/>
        </w:rPr>
        <w:t xml:space="preserve"> </w:t>
      </w:r>
      <w:r>
        <w:t xml:space="preserve">Etablissement du Prix de Revient : </w:t>
      </w:r>
    </w:p>
    <w:p w14:paraId="69542B8F" w14:textId="77777777" w:rsidR="00B507DC" w:rsidRDefault="00E706E6" w:rsidP="009B5E17">
      <w:pPr>
        <w:ind w:left="-284" w:right="61"/>
        <w:jc w:val="both"/>
      </w:pPr>
      <w:r>
        <w:lastRenderedPageBreak/>
        <w:t xml:space="preserve">Raisonnement sur l’établissement du prix de revient : </w:t>
      </w:r>
    </w:p>
    <w:p w14:paraId="5D17F0AD" w14:textId="12A616BC" w:rsidR="00B507DC" w:rsidRDefault="00E706E6" w:rsidP="009B5E17">
      <w:pPr>
        <w:ind w:left="-284" w:right="68"/>
        <w:jc w:val="both"/>
      </w:pPr>
      <w:r>
        <w:t xml:space="preserve">La </w:t>
      </w:r>
      <w:r w:rsidR="00E623B3">
        <w:t>science</w:t>
      </w:r>
      <w:r>
        <w:t xml:space="preserve"> insiste sur l’importance d’une démarche analytique qui va au-delà de la comptabilité classique. En répartissant les coûts directs (facilement imputables) et les coûts indirects (nécessitant des clés de répartition), on obtient une vision plus fine des dépenses réellement engagées pour chaque service. </w:t>
      </w:r>
    </w:p>
    <w:p w14:paraId="7A7913FB" w14:textId="77777777" w:rsidR="00B507DC" w:rsidRDefault="00E706E6" w:rsidP="009B5E17">
      <w:pPr>
        <w:ind w:left="-284" w:right="68"/>
        <w:jc w:val="both"/>
      </w:pPr>
      <w:r>
        <w:t xml:space="preserve">Formule de base : On obtient le coût de revient en divisant la somme des charges directes et indirectes par le nombre d’unités produites ou de services rendus. </w:t>
      </w:r>
    </w:p>
    <w:p w14:paraId="12007D0C" w14:textId="77777777" w:rsidR="00B507DC" w:rsidRDefault="00E706E6" w:rsidP="009B5E17">
      <w:pPr>
        <w:tabs>
          <w:tab w:val="center" w:pos="1532"/>
        </w:tabs>
        <w:ind w:left="-284" w:firstLine="0"/>
        <w:jc w:val="both"/>
      </w:pPr>
      <w:r>
        <w:t xml:space="preserve"> </w:t>
      </w:r>
      <w:r>
        <w:tab/>
        <w:t xml:space="preserve">Raisonnement </w:t>
      </w:r>
    </w:p>
    <w:p w14:paraId="37C9E863" w14:textId="77777777" w:rsidR="00B507DC" w:rsidRDefault="00E706E6" w:rsidP="009B5E17">
      <w:pPr>
        <w:numPr>
          <w:ilvl w:val="0"/>
          <w:numId w:val="3"/>
        </w:numPr>
        <w:ind w:left="-284" w:right="68" w:hanging="360"/>
        <w:jc w:val="both"/>
      </w:pPr>
      <w:r>
        <w:t xml:space="preserve">Pertinence du calcul : Ce calcul analytique fournit aux gestionnaires une vision détaillée de l’ensemble des dépenses engagées, facilitant ainsi l’identification des sources d’inefficacité et des écarts entre le coût prévu et le coût réel. </w:t>
      </w:r>
    </w:p>
    <w:p w14:paraId="0445DF8F" w14:textId="7DB90258" w:rsidR="00B507DC" w:rsidRDefault="00E706E6" w:rsidP="009B5E17">
      <w:pPr>
        <w:numPr>
          <w:ilvl w:val="0"/>
          <w:numId w:val="3"/>
        </w:numPr>
        <w:ind w:left="-284" w:right="68" w:hanging="360"/>
        <w:jc w:val="both"/>
      </w:pPr>
      <w:r>
        <w:t xml:space="preserve">Impact sur la prise de décision : En connaissant précisément le coût de revient, il devient possible de mettre en place des actions correctives et d’ajuster la gestion budgétaire pour améliorer la performance globale du service public. </w:t>
      </w:r>
    </w:p>
    <w:p w14:paraId="54C1A4C8" w14:textId="67A830B3" w:rsidR="005E3888" w:rsidRPr="005E3888" w:rsidRDefault="005E3888" w:rsidP="009B5E17">
      <w:pPr>
        <w:ind w:left="-284" w:right="68" w:firstLine="0"/>
        <w:jc w:val="both"/>
        <w:rPr>
          <w:b/>
          <w:bCs/>
        </w:rPr>
      </w:pPr>
      <w:r w:rsidRPr="005E3888">
        <w:rPr>
          <w:b/>
          <w:bCs/>
        </w:rPr>
        <w:t>b. établissement du prix de revient</w:t>
      </w:r>
    </w:p>
    <w:p w14:paraId="079E1691" w14:textId="70722FB1" w:rsidR="00B507DC" w:rsidRDefault="00E706E6" w:rsidP="009B5E17">
      <w:pPr>
        <w:ind w:left="-284" w:right="68" w:firstLine="0"/>
        <w:jc w:val="both"/>
      </w:pPr>
      <w:r>
        <w:t xml:space="preserve">L’établissement du prix de revient se fait en dehors des opérations de comptabilité </w:t>
      </w:r>
      <w:r w:rsidR="005E3888">
        <w:t>classique ;</w:t>
      </w:r>
      <w:r>
        <w:t xml:space="preserve"> c’est un calcul analytique effectué sur mesure en fonction des besoins de pilotage du service. La comptabilité analytique vise ainsi à traiter les données financières en vue de mieux cerner le pilotage de la performance du service.  </w:t>
      </w:r>
    </w:p>
    <w:p w14:paraId="56D47332" w14:textId="77777777" w:rsidR="00B507DC" w:rsidRDefault="00E706E6" w:rsidP="009B5E17">
      <w:pPr>
        <w:spacing w:after="161" w:line="259" w:lineRule="auto"/>
        <w:ind w:left="-284"/>
        <w:jc w:val="both"/>
      </w:pPr>
      <w:r>
        <w:rPr>
          <w:b/>
          <w:i/>
        </w:rPr>
        <w:t xml:space="preserve">                               Somme des charges directs et indirects</w:t>
      </w:r>
      <w:r>
        <w:t xml:space="preserve"> </w:t>
      </w:r>
    </w:p>
    <w:p w14:paraId="2F5419AF" w14:textId="77777777" w:rsidR="00B507DC" w:rsidRDefault="00E706E6" w:rsidP="009B5E17">
      <w:pPr>
        <w:spacing w:after="161" w:line="259" w:lineRule="auto"/>
        <w:ind w:left="-284"/>
        <w:jc w:val="both"/>
      </w:pPr>
      <w:r>
        <w:rPr>
          <w:b/>
          <w:i/>
        </w:rPr>
        <w:t xml:space="preserve">Coût de revient = </w:t>
      </w:r>
      <w:r>
        <w:rPr>
          <w:noProof/>
          <w:sz w:val="22"/>
        </w:rPr>
        <mc:AlternateContent>
          <mc:Choice Requires="wpg">
            <w:drawing>
              <wp:inline distT="0" distB="0" distL="0" distR="0" wp14:anchorId="14F666FB" wp14:editId="4BD97656">
                <wp:extent cx="2571750" cy="19050"/>
                <wp:effectExtent l="0" t="0" r="0" b="0"/>
                <wp:docPr id="13386" name="Group 13386"/>
                <wp:cNvGraphicFramePr/>
                <a:graphic xmlns:a="http://schemas.openxmlformats.org/drawingml/2006/main">
                  <a:graphicData uri="http://schemas.microsoft.com/office/word/2010/wordprocessingGroup">
                    <wpg:wgp>
                      <wpg:cNvGrpSpPr/>
                      <wpg:grpSpPr>
                        <a:xfrm>
                          <a:off x="0" y="0"/>
                          <a:ext cx="2571750" cy="19050"/>
                          <a:chOff x="0" y="0"/>
                          <a:chExt cx="2571750" cy="19050"/>
                        </a:xfrm>
                      </wpg:grpSpPr>
                      <wps:wsp>
                        <wps:cNvPr id="355" name="Shape 355"/>
                        <wps:cNvSpPr/>
                        <wps:spPr>
                          <a:xfrm>
                            <a:off x="0" y="0"/>
                            <a:ext cx="2571750" cy="19050"/>
                          </a:xfrm>
                          <a:custGeom>
                            <a:avLst/>
                            <a:gdLst/>
                            <a:ahLst/>
                            <a:cxnLst/>
                            <a:rect l="0" t="0" r="0" b="0"/>
                            <a:pathLst>
                              <a:path w="2571750" h="19050">
                                <a:moveTo>
                                  <a:pt x="0" y="19050"/>
                                </a:moveTo>
                                <a:lnTo>
                                  <a:pt x="25717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386" style="width:202.5pt;height:1.5pt;mso-position-horizontal-relative:char;mso-position-vertical-relative:line" coordsize="25717,190">
                <v:shape id="Shape 355" style="position:absolute;width:25717;height:190;left:0;top:0;" coordsize="2571750,19050" path="m0,19050l2571750,0">
                  <v:stroke weight="0.5pt" endcap="flat" joinstyle="miter" miterlimit="10" on="true" color="#000000"/>
                  <v:fill on="false" color="#000000" opacity="0"/>
                </v:shape>
              </v:group>
            </w:pict>
          </mc:Fallback>
        </mc:AlternateContent>
      </w:r>
      <w:r>
        <w:t xml:space="preserve"> </w:t>
      </w:r>
    </w:p>
    <w:p w14:paraId="2AFC436C" w14:textId="76E6CC85" w:rsidR="00B507DC" w:rsidRDefault="00E706E6" w:rsidP="009B5E17">
      <w:pPr>
        <w:spacing w:after="161" w:line="259" w:lineRule="auto"/>
        <w:ind w:left="-284"/>
        <w:jc w:val="both"/>
      </w:pPr>
      <w:r>
        <w:rPr>
          <w:b/>
          <w:i/>
        </w:rPr>
        <w:t xml:space="preserve">                                       Quantités produites </w:t>
      </w:r>
    </w:p>
    <w:p w14:paraId="7C582B70" w14:textId="6A77499F" w:rsidR="005E3888" w:rsidRDefault="00E706E6" w:rsidP="009B5E17">
      <w:pPr>
        <w:spacing w:after="99"/>
        <w:ind w:left="-284" w:right="68"/>
        <w:jc w:val="both"/>
      </w:pPr>
      <w:r>
        <w:t xml:space="preserve">Ce type de calcul analytique permet aux gestionnaires de piloter la performance des services publics de manière plus efficace. En connaissant précisément le coût de revient, il devient possible d’identifier des écarts entre le coût prévu et le coût réel, et ainsi de prendre des mesures correctives adaptées. </w:t>
      </w:r>
    </w:p>
    <w:p w14:paraId="7D505A9C" w14:textId="0EB10A8F" w:rsidR="009B5E17" w:rsidRDefault="009B5E17" w:rsidP="009B5E17">
      <w:pPr>
        <w:spacing w:after="99"/>
        <w:ind w:left="-284" w:right="68"/>
        <w:jc w:val="both"/>
      </w:pPr>
    </w:p>
    <w:p w14:paraId="38EEDB67" w14:textId="3E63D4E3" w:rsidR="009B5E17" w:rsidRDefault="009B5E17" w:rsidP="009B5E17">
      <w:pPr>
        <w:spacing w:after="99"/>
        <w:ind w:left="-284" w:right="68"/>
        <w:jc w:val="both"/>
      </w:pPr>
    </w:p>
    <w:p w14:paraId="16EAD379" w14:textId="49BF759D" w:rsidR="009B5E17" w:rsidRDefault="009B5E17" w:rsidP="009B5E17">
      <w:pPr>
        <w:spacing w:after="99"/>
        <w:ind w:left="-284" w:right="68"/>
        <w:jc w:val="both"/>
      </w:pPr>
    </w:p>
    <w:p w14:paraId="510FEBC4" w14:textId="6AD48EF9" w:rsidR="009B5E17" w:rsidRDefault="009B5E17" w:rsidP="009B5E17">
      <w:pPr>
        <w:spacing w:after="99"/>
        <w:ind w:left="-284" w:right="68"/>
        <w:jc w:val="both"/>
      </w:pPr>
    </w:p>
    <w:p w14:paraId="777DDF50" w14:textId="32ECFFD1" w:rsidR="009B5E17" w:rsidRDefault="009B5E17" w:rsidP="009B5E17">
      <w:pPr>
        <w:spacing w:after="99"/>
        <w:ind w:left="-284" w:right="68"/>
        <w:jc w:val="both"/>
      </w:pPr>
    </w:p>
    <w:p w14:paraId="491EC33A" w14:textId="3C345ACB" w:rsidR="009B5E17" w:rsidRDefault="009B5E17" w:rsidP="009B5E17">
      <w:pPr>
        <w:spacing w:after="99"/>
        <w:ind w:left="-284" w:right="68"/>
        <w:jc w:val="both"/>
      </w:pPr>
    </w:p>
    <w:p w14:paraId="3F8BE59A" w14:textId="74F42633" w:rsidR="009B5E17" w:rsidRDefault="009B5E17" w:rsidP="009B5E17">
      <w:pPr>
        <w:spacing w:after="99"/>
        <w:ind w:left="-284" w:right="68"/>
        <w:jc w:val="both"/>
      </w:pPr>
    </w:p>
    <w:p w14:paraId="556A69E3" w14:textId="77777777" w:rsidR="009B5E17" w:rsidRDefault="009B5E17" w:rsidP="009B5E17">
      <w:pPr>
        <w:spacing w:after="99"/>
        <w:ind w:left="-284" w:right="68"/>
        <w:jc w:val="both"/>
      </w:pPr>
    </w:p>
    <w:p w14:paraId="3E7F4A51" w14:textId="77777777" w:rsidR="00B507DC" w:rsidRPr="009B5E17" w:rsidRDefault="00E706E6">
      <w:pPr>
        <w:spacing w:after="14" w:line="248" w:lineRule="auto"/>
        <w:ind w:left="-5" w:right="19"/>
        <w:rPr>
          <w:rFonts w:asciiTheme="majorHAnsi" w:hAnsiTheme="majorHAnsi" w:cstheme="majorHAnsi"/>
          <w:sz w:val="36"/>
          <w:szCs w:val="28"/>
        </w:rPr>
      </w:pPr>
      <w:r w:rsidRPr="009B5E17">
        <w:rPr>
          <w:rFonts w:asciiTheme="majorHAnsi" w:hAnsiTheme="majorHAnsi" w:cstheme="majorHAnsi"/>
          <w:szCs w:val="28"/>
        </w:rPr>
        <w:t xml:space="preserve">Exemple : Achat de meubles pour un département ministériel. </w:t>
      </w:r>
    </w:p>
    <w:p w14:paraId="3452D693" w14:textId="77777777" w:rsidR="00B507DC" w:rsidRDefault="00E706E6">
      <w:pPr>
        <w:spacing w:after="117" w:line="259" w:lineRule="auto"/>
        <w:ind w:left="0" w:firstLine="0"/>
      </w:pPr>
      <w:r>
        <w:rPr>
          <w:sz w:val="4"/>
        </w:rPr>
        <w:t xml:space="preserve"> </w:t>
      </w:r>
    </w:p>
    <w:tbl>
      <w:tblPr>
        <w:tblStyle w:val="TableGrid"/>
        <w:tblW w:w="8931" w:type="dxa"/>
        <w:tblInd w:w="-150" w:type="dxa"/>
        <w:tblCellMar>
          <w:top w:w="78" w:type="dxa"/>
          <w:left w:w="52" w:type="dxa"/>
          <w:right w:w="115" w:type="dxa"/>
        </w:tblCellMar>
        <w:tblLook w:val="04A0" w:firstRow="1" w:lastRow="0" w:firstColumn="1" w:lastColumn="0" w:noHBand="0" w:noVBand="1"/>
      </w:tblPr>
      <w:tblGrid>
        <w:gridCol w:w="6378"/>
        <w:gridCol w:w="2553"/>
      </w:tblGrid>
      <w:tr w:rsidR="00B507DC" w14:paraId="098F11F4" w14:textId="77777777" w:rsidTr="009B5E17">
        <w:trPr>
          <w:trHeight w:val="374"/>
        </w:trPr>
        <w:tc>
          <w:tcPr>
            <w:tcW w:w="8931" w:type="dxa"/>
            <w:gridSpan w:val="2"/>
            <w:tcBorders>
              <w:top w:val="single" w:sz="5" w:space="0" w:color="000000"/>
              <w:left w:val="single" w:sz="6" w:space="0" w:color="000000"/>
              <w:bottom w:val="single" w:sz="6" w:space="0" w:color="D4D4D4"/>
              <w:right w:val="single" w:sz="6" w:space="0" w:color="000000"/>
            </w:tcBorders>
          </w:tcPr>
          <w:p w14:paraId="68FE9460" w14:textId="77777777" w:rsidR="00B507DC" w:rsidRDefault="00E706E6">
            <w:pPr>
              <w:spacing w:line="259" w:lineRule="auto"/>
              <w:ind w:left="0" w:right="8" w:firstLine="0"/>
              <w:jc w:val="center"/>
            </w:pPr>
            <w:r>
              <w:rPr>
                <w:b/>
              </w:rPr>
              <w:t xml:space="preserve">Calcul du Prix de Revient </w:t>
            </w:r>
          </w:p>
        </w:tc>
      </w:tr>
      <w:tr w:rsidR="00B507DC" w14:paraId="5FEC45CF"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50B06068" w14:textId="77777777" w:rsidR="00B507DC" w:rsidRDefault="00E706E6">
            <w:pPr>
              <w:spacing w:line="259" w:lineRule="auto"/>
              <w:ind w:left="0" w:firstLine="0"/>
            </w:pPr>
            <w:r>
              <w:rPr>
                <w:b/>
              </w:rPr>
              <w:t>A titre d'exemple :</w:t>
            </w:r>
          </w:p>
        </w:tc>
        <w:tc>
          <w:tcPr>
            <w:tcW w:w="2553" w:type="dxa"/>
            <w:tcBorders>
              <w:top w:val="single" w:sz="6" w:space="0" w:color="D4D4D4"/>
              <w:left w:val="single" w:sz="6" w:space="0" w:color="D4D4D4"/>
              <w:bottom w:val="single" w:sz="6" w:space="0" w:color="D4D4D4"/>
              <w:right w:val="single" w:sz="6" w:space="0" w:color="000000"/>
            </w:tcBorders>
          </w:tcPr>
          <w:p w14:paraId="196F5A6A" w14:textId="77777777" w:rsidR="00B507DC" w:rsidRDefault="00B507DC">
            <w:pPr>
              <w:spacing w:line="259" w:lineRule="auto"/>
              <w:ind w:left="0" w:firstLine="0"/>
            </w:pPr>
          </w:p>
        </w:tc>
      </w:tr>
      <w:tr w:rsidR="00B507DC" w14:paraId="3A881EE8" w14:textId="77777777" w:rsidTr="009B5E17">
        <w:trPr>
          <w:trHeight w:val="375"/>
        </w:trPr>
        <w:tc>
          <w:tcPr>
            <w:tcW w:w="8931" w:type="dxa"/>
            <w:gridSpan w:val="2"/>
            <w:tcBorders>
              <w:top w:val="single" w:sz="6" w:space="0" w:color="D4D4D4"/>
              <w:left w:val="single" w:sz="6" w:space="0" w:color="000000"/>
              <w:bottom w:val="single" w:sz="6" w:space="0" w:color="D4D4D4"/>
              <w:right w:val="single" w:sz="6" w:space="0" w:color="000000"/>
            </w:tcBorders>
          </w:tcPr>
          <w:p w14:paraId="063F03F9" w14:textId="77777777" w:rsidR="00B507DC" w:rsidRDefault="00E706E6">
            <w:pPr>
              <w:spacing w:line="259" w:lineRule="auto"/>
              <w:ind w:left="0" w:firstLine="0"/>
            </w:pPr>
            <w:r>
              <w:rPr>
                <w:b/>
              </w:rPr>
              <w:t>Achat des meubles pour un département ministériel</w:t>
            </w:r>
          </w:p>
        </w:tc>
      </w:tr>
      <w:tr w:rsidR="00B507DC" w14:paraId="65AA1503" w14:textId="77777777" w:rsidTr="009B5E17">
        <w:trPr>
          <w:trHeight w:val="374"/>
        </w:trPr>
        <w:tc>
          <w:tcPr>
            <w:tcW w:w="6378" w:type="dxa"/>
            <w:tcBorders>
              <w:top w:val="single" w:sz="6" w:space="0" w:color="D4D4D4"/>
              <w:left w:val="single" w:sz="6" w:space="0" w:color="000000"/>
              <w:bottom w:val="single" w:sz="6" w:space="0" w:color="D4D4D4"/>
              <w:right w:val="single" w:sz="6" w:space="0" w:color="D4D4D4"/>
            </w:tcBorders>
          </w:tcPr>
          <w:p w14:paraId="13166DA5" w14:textId="77777777" w:rsidR="00B507DC" w:rsidRDefault="00E706E6">
            <w:pPr>
              <w:spacing w:line="259" w:lineRule="auto"/>
              <w:ind w:left="0" w:firstLine="0"/>
            </w:pPr>
            <w:r>
              <w:rPr>
                <w:b/>
              </w:rPr>
              <w:t>1-Identification des coûts ou charges</w:t>
            </w:r>
          </w:p>
        </w:tc>
        <w:tc>
          <w:tcPr>
            <w:tcW w:w="2553" w:type="dxa"/>
            <w:tcBorders>
              <w:top w:val="single" w:sz="6" w:space="0" w:color="D4D4D4"/>
              <w:left w:val="single" w:sz="6" w:space="0" w:color="D4D4D4"/>
              <w:bottom w:val="single" w:sz="6" w:space="0" w:color="D4D4D4"/>
              <w:right w:val="single" w:sz="6" w:space="0" w:color="000000"/>
            </w:tcBorders>
          </w:tcPr>
          <w:p w14:paraId="5E7911BB" w14:textId="77777777" w:rsidR="00B507DC" w:rsidRDefault="00B507DC">
            <w:pPr>
              <w:spacing w:line="259" w:lineRule="auto"/>
              <w:ind w:left="0" w:firstLine="0"/>
            </w:pPr>
          </w:p>
        </w:tc>
      </w:tr>
      <w:tr w:rsidR="00B507DC" w14:paraId="6676A1C5"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48F50B60" w14:textId="77777777" w:rsidR="00B507DC" w:rsidRDefault="00E706E6">
            <w:pPr>
              <w:spacing w:line="259" w:lineRule="auto"/>
              <w:ind w:left="0" w:firstLine="0"/>
            </w:pPr>
            <w:r>
              <w:rPr>
                <w:b/>
              </w:rPr>
              <w:t>Coût directs</w:t>
            </w:r>
          </w:p>
        </w:tc>
        <w:tc>
          <w:tcPr>
            <w:tcW w:w="2553" w:type="dxa"/>
            <w:tcBorders>
              <w:top w:val="single" w:sz="6" w:space="0" w:color="D4D4D4"/>
              <w:left w:val="single" w:sz="6" w:space="0" w:color="D4D4D4"/>
              <w:bottom w:val="single" w:sz="6" w:space="0" w:color="D4D4D4"/>
              <w:right w:val="single" w:sz="6" w:space="0" w:color="000000"/>
            </w:tcBorders>
          </w:tcPr>
          <w:p w14:paraId="7BC2424E" w14:textId="77777777" w:rsidR="00B507DC" w:rsidRDefault="00B507DC">
            <w:pPr>
              <w:spacing w:line="259" w:lineRule="auto"/>
              <w:ind w:left="0" w:firstLine="0"/>
            </w:pPr>
          </w:p>
        </w:tc>
      </w:tr>
      <w:tr w:rsidR="00B507DC" w14:paraId="6E248C80"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7028F115" w14:textId="77777777" w:rsidR="00B507DC" w:rsidRDefault="00E706E6">
            <w:pPr>
              <w:spacing w:line="259" w:lineRule="auto"/>
              <w:ind w:left="0" w:firstLine="0"/>
            </w:pPr>
            <w:r>
              <w:rPr>
                <w:b/>
              </w:rPr>
              <w:t>Prix des tables</w:t>
            </w:r>
          </w:p>
        </w:tc>
        <w:tc>
          <w:tcPr>
            <w:tcW w:w="2553" w:type="dxa"/>
            <w:tcBorders>
              <w:top w:val="single" w:sz="6" w:space="0" w:color="D4D4D4"/>
              <w:left w:val="single" w:sz="6" w:space="0" w:color="D4D4D4"/>
              <w:bottom w:val="single" w:sz="6" w:space="0" w:color="D4D4D4"/>
              <w:right w:val="single" w:sz="6" w:space="0" w:color="000000"/>
            </w:tcBorders>
          </w:tcPr>
          <w:p w14:paraId="6DB5AFC2" w14:textId="77777777" w:rsidR="00B507DC" w:rsidRDefault="00E706E6">
            <w:pPr>
              <w:spacing w:line="259" w:lineRule="auto"/>
              <w:ind w:left="92" w:firstLine="0"/>
            </w:pPr>
            <w:r>
              <w:rPr>
                <w:b/>
              </w:rPr>
              <w:t xml:space="preserve"> 10 000 000</w:t>
            </w:r>
          </w:p>
        </w:tc>
      </w:tr>
      <w:tr w:rsidR="00B507DC" w14:paraId="6EDE6DA1"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0B2F016A" w14:textId="77777777" w:rsidR="00B507DC" w:rsidRDefault="00E706E6">
            <w:pPr>
              <w:spacing w:line="259" w:lineRule="auto"/>
              <w:ind w:left="0" w:firstLine="0"/>
            </w:pPr>
            <w:r>
              <w:rPr>
                <w:b/>
              </w:rPr>
              <w:t>Prix des chaises</w:t>
            </w:r>
          </w:p>
        </w:tc>
        <w:tc>
          <w:tcPr>
            <w:tcW w:w="2553" w:type="dxa"/>
            <w:tcBorders>
              <w:top w:val="single" w:sz="6" w:space="0" w:color="D4D4D4"/>
              <w:left w:val="single" w:sz="6" w:space="0" w:color="D4D4D4"/>
              <w:bottom w:val="single" w:sz="6" w:space="0" w:color="D4D4D4"/>
              <w:right w:val="single" w:sz="6" w:space="0" w:color="000000"/>
            </w:tcBorders>
          </w:tcPr>
          <w:p w14:paraId="2555FD2D" w14:textId="77777777" w:rsidR="00B507DC" w:rsidRDefault="00E706E6">
            <w:pPr>
              <w:spacing w:line="259" w:lineRule="auto"/>
              <w:ind w:left="92" w:firstLine="0"/>
            </w:pPr>
            <w:r>
              <w:rPr>
                <w:b/>
              </w:rPr>
              <w:t xml:space="preserve">    5 000 000</w:t>
            </w:r>
          </w:p>
        </w:tc>
      </w:tr>
      <w:tr w:rsidR="00B507DC" w14:paraId="33385C7D"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6620A1DD" w14:textId="77777777" w:rsidR="00B507DC" w:rsidRDefault="00E706E6">
            <w:pPr>
              <w:spacing w:line="259" w:lineRule="auto"/>
              <w:ind w:left="0" w:firstLine="0"/>
            </w:pPr>
            <w:r>
              <w:rPr>
                <w:b/>
              </w:rPr>
              <w:t>Prix des bureaux</w:t>
            </w:r>
          </w:p>
        </w:tc>
        <w:tc>
          <w:tcPr>
            <w:tcW w:w="2553" w:type="dxa"/>
            <w:tcBorders>
              <w:top w:val="single" w:sz="6" w:space="0" w:color="D4D4D4"/>
              <w:left w:val="single" w:sz="6" w:space="0" w:color="D4D4D4"/>
              <w:bottom w:val="single" w:sz="6" w:space="0" w:color="D4D4D4"/>
              <w:right w:val="single" w:sz="6" w:space="0" w:color="000000"/>
            </w:tcBorders>
          </w:tcPr>
          <w:p w14:paraId="0CEE762D" w14:textId="77777777" w:rsidR="00B507DC" w:rsidRDefault="00E706E6">
            <w:pPr>
              <w:spacing w:line="259" w:lineRule="auto"/>
              <w:ind w:left="92" w:firstLine="0"/>
            </w:pPr>
            <w:r>
              <w:rPr>
                <w:b/>
              </w:rPr>
              <w:t xml:space="preserve"> 15 000 000</w:t>
            </w:r>
          </w:p>
        </w:tc>
      </w:tr>
      <w:tr w:rsidR="00B507DC" w14:paraId="30ED94FD"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1440ED79" w14:textId="77777777" w:rsidR="00B507DC" w:rsidRDefault="00E706E6">
            <w:pPr>
              <w:spacing w:line="259" w:lineRule="auto"/>
              <w:ind w:left="0" w:firstLine="0"/>
            </w:pPr>
            <w:r>
              <w:rPr>
                <w:b/>
                <w:color w:val="FF0000"/>
              </w:rPr>
              <w:t>Total des charges directs</w:t>
            </w:r>
          </w:p>
        </w:tc>
        <w:tc>
          <w:tcPr>
            <w:tcW w:w="2553" w:type="dxa"/>
            <w:tcBorders>
              <w:top w:val="single" w:sz="6" w:space="0" w:color="D4D4D4"/>
              <w:left w:val="single" w:sz="6" w:space="0" w:color="D4D4D4"/>
              <w:bottom w:val="single" w:sz="6" w:space="0" w:color="D4D4D4"/>
              <w:right w:val="single" w:sz="6" w:space="0" w:color="000000"/>
            </w:tcBorders>
          </w:tcPr>
          <w:p w14:paraId="19E2E811" w14:textId="77777777" w:rsidR="00B507DC" w:rsidRDefault="00E706E6">
            <w:pPr>
              <w:spacing w:line="259" w:lineRule="auto"/>
              <w:ind w:left="92" w:firstLine="0"/>
            </w:pPr>
            <w:r>
              <w:rPr>
                <w:b/>
                <w:color w:val="FF0000"/>
              </w:rPr>
              <w:t xml:space="preserve"> 30 000 000</w:t>
            </w:r>
          </w:p>
        </w:tc>
      </w:tr>
      <w:tr w:rsidR="00B507DC" w14:paraId="4A801DF4"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25798C52" w14:textId="77777777" w:rsidR="00B507DC" w:rsidRDefault="00E706E6">
            <w:pPr>
              <w:spacing w:line="259" w:lineRule="auto"/>
              <w:ind w:left="0" w:firstLine="0"/>
            </w:pPr>
            <w:r>
              <w:rPr>
                <w:b/>
              </w:rPr>
              <w:t>Coût indirects</w:t>
            </w:r>
          </w:p>
        </w:tc>
        <w:tc>
          <w:tcPr>
            <w:tcW w:w="2553" w:type="dxa"/>
            <w:tcBorders>
              <w:top w:val="single" w:sz="6" w:space="0" w:color="D4D4D4"/>
              <w:left w:val="single" w:sz="6" w:space="0" w:color="D4D4D4"/>
              <w:bottom w:val="single" w:sz="6" w:space="0" w:color="D4D4D4"/>
              <w:right w:val="single" w:sz="6" w:space="0" w:color="000000"/>
            </w:tcBorders>
          </w:tcPr>
          <w:p w14:paraId="4308FA88" w14:textId="77777777" w:rsidR="00B507DC" w:rsidRDefault="00B507DC">
            <w:pPr>
              <w:spacing w:line="259" w:lineRule="auto"/>
              <w:ind w:left="0" w:firstLine="0"/>
            </w:pPr>
          </w:p>
        </w:tc>
      </w:tr>
      <w:tr w:rsidR="00B507DC" w14:paraId="136D930D"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3009FEB8" w14:textId="77777777" w:rsidR="00B507DC" w:rsidRDefault="00E706E6">
            <w:pPr>
              <w:spacing w:line="259" w:lineRule="auto"/>
              <w:ind w:left="0" w:firstLine="0"/>
            </w:pPr>
            <w:r>
              <w:rPr>
                <w:b/>
              </w:rPr>
              <w:t>Transport et livraison</w:t>
            </w:r>
          </w:p>
        </w:tc>
        <w:tc>
          <w:tcPr>
            <w:tcW w:w="2553" w:type="dxa"/>
            <w:tcBorders>
              <w:top w:val="single" w:sz="6" w:space="0" w:color="D4D4D4"/>
              <w:left w:val="single" w:sz="6" w:space="0" w:color="D4D4D4"/>
              <w:bottom w:val="single" w:sz="6" w:space="0" w:color="D4D4D4"/>
              <w:right w:val="single" w:sz="6" w:space="0" w:color="000000"/>
            </w:tcBorders>
          </w:tcPr>
          <w:p w14:paraId="0A7DB3F6" w14:textId="77777777" w:rsidR="00B507DC" w:rsidRDefault="00E706E6">
            <w:pPr>
              <w:spacing w:line="259" w:lineRule="auto"/>
              <w:ind w:left="92" w:firstLine="0"/>
            </w:pPr>
            <w:r>
              <w:rPr>
                <w:b/>
              </w:rPr>
              <w:t xml:space="preserve">       500 000</w:t>
            </w:r>
          </w:p>
        </w:tc>
      </w:tr>
      <w:tr w:rsidR="00B507DC" w14:paraId="49E5E5EB"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6DAF136A" w14:textId="77777777" w:rsidR="00B507DC" w:rsidRDefault="00E706E6">
            <w:pPr>
              <w:spacing w:line="259" w:lineRule="auto"/>
              <w:ind w:left="0" w:firstLine="0"/>
            </w:pPr>
            <w:r>
              <w:rPr>
                <w:b/>
              </w:rPr>
              <w:t>Montage</w:t>
            </w:r>
          </w:p>
        </w:tc>
        <w:tc>
          <w:tcPr>
            <w:tcW w:w="2553" w:type="dxa"/>
            <w:tcBorders>
              <w:top w:val="single" w:sz="6" w:space="0" w:color="D4D4D4"/>
              <w:left w:val="single" w:sz="6" w:space="0" w:color="D4D4D4"/>
              <w:bottom w:val="single" w:sz="6" w:space="0" w:color="D4D4D4"/>
              <w:right w:val="single" w:sz="6" w:space="0" w:color="000000"/>
            </w:tcBorders>
          </w:tcPr>
          <w:p w14:paraId="7088C476" w14:textId="77777777" w:rsidR="00B507DC" w:rsidRDefault="00E706E6">
            <w:pPr>
              <w:spacing w:line="259" w:lineRule="auto"/>
              <w:ind w:left="92" w:firstLine="0"/>
            </w:pPr>
            <w:r>
              <w:rPr>
                <w:b/>
              </w:rPr>
              <w:t xml:space="preserve">       300 000</w:t>
            </w:r>
          </w:p>
        </w:tc>
      </w:tr>
      <w:tr w:rsidR="00B507DC" w14:paraId="4C810C8C"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13B23660" w14:textId="77777777" w:rsidR="00B507DC" w:rsidRDefault="00E706E6">
            <w:pPr>
              <w:spacing w:line="259" w:lineRule="auto"/>
              <w:ind w:left="0" w:firstLine="0"/>
            </w:pPr>
            <w:r>
              <w:rPr>
                <w:b/>
                <w:color w:val="FF0000"/>
              </w:rPr>
              <w:t>Total des charges indirects</w:t>
            </w:r>
          </w:p>
        </w:tc>
        <w:tc>
          <w:tcPr>
            <w:tcW w:w="2553" w:type="dxa"/>
            <w:tcBorders>
              <w:top w:val="single" w:sz="6" w:space="0" w:color="D4D4D4"/>
              <w:left w:val="single" w:sz="6" w:space="0" w:color="D4D4D4"/>
              <w:bottom w:val="single" w:sz="6" w:space="0" w:color="D4D4D4"/>
              <w:right w:val="single" w:sz="6" w:space="0" w:color="000000"/>
            </w:tcBorders>
          </w:tcPr>
          <w:p w14:paraId="36DCB7B9" w14:textId="77777777" w:rsidR="00B507DC" w:rsidRDefault="00E706E6">
            <w:pPr>
              <w:spacing w:line="259" w:lineRule="auto"/>
              <w:ind w:left="92" w:firstLine="0"/>
            </w:pPr>
            <w:r>
              <w:rPr>
                <w:b/>
                <w:color w:val="FF0000"/>
              </w:rPr>
              <w:t xml:space="preserve">       800 000</w:t>
            </w:r>
          </w:p>
        </w:tc>
      </w:tr>
      <w:tr w:rsidR="00B507DC" w14:paraId="09999DC8" w14:textId="77777777" w:rsidTr="009B5E17">
        <w:trPr>
          <w:trHeight w:val="375"/>
        </w:trPr>
        <w:tc>
          <w:tcPr>
            <w:tcW w:w="6378" w:type="dxa"/>
            <w:tcBorders>
              <w:top w:val="single" w:sz="6" w:space="0" w:color="D4D4D4"/>
              <w:left w:val="single" w:sz="6" w:space="0" w:color="000000"/>
              <w:bottom w:val="single" w:sz="6" w:space="0" w:color="D4D4D4"/>
              <w:right w:val="single" w:sz="6" w:space="0" w:color="D4D4D4"/>
            </w:tcBorders>
          </w:tcPr>
          <w:p w14:paraId="0DCB369F" w14:textId="77777777" w:rsidR="00B507DC" w:rsidRDefault="00E706E6">
            <w:pPr>
              <w:spacing w:line="259" w:lineRule="auto"/>
              <w:ind w:left="0" w:firstLine="0"/>
            </w:pPr>
            <w:r>
              <w:rPr>
                <w:b/>
              </w:rPr>
              <w:t>2-Calcul du prix de revient</w:t>
            </w:r>
          </w:p>
        </w:tc>
        <w:tc>
          <w:tcPr>
            <w:tcW w:w="2553" w:type="dxa"/>
            <w:tcBorders>
              <w:top w:val="single" w:sz="6" w:space="0" w:color="D4D4D4"/>
              <w:left w:val="single" w:sz="6" w:space="0" w:color="D4D4D4"/>
              <w:bottom w:val="single" w:sz="6" w:space="0" w:color="D4D4D4"/>
              <w:right w:val="single" w:sz="6" w:space="0" w:color="000000"/>
            </w:tcBorders>
          </w:tcPr>
          <w:p w14:paraId="47FB2A7B" w14:textId="77777777" w:rsidR="00B507DC" w:rsidRDefault="00B507DC">
            <w:pPr>
              <w:spacing w:line="259" w:lineRule="auto"/>
              <w:ind w:left="0" w:firstLine="0"/>
            </w:pPr>
          </w:p>
        </w:tc>
      </w:tr>
      <w:tr w:rsidR="00B507DC" w14:paraId="67518BFC" w14:textId="77777777" w:rsidTr="009B5E17">
        <w:trPr>
          <w:trHeight w:val="373"/>
        </w:trPr>
        <w:tc>
          <w:tcPr>
            <w:tcW w:w="8931" w:type="dxa"/>
            <w:gridSpan w:val="2"/>
            <w:tcBorders>
              <w:top w:val="single" w:sz="6" w:space="0" w:color="D4D4D4"/>
              <w:left w:val="single" w:sz="6" w:space="0" w:color="000000"/>
              <w:bottom w:val="nil"/>
              <w:right w:val="single" w:sz="6" w:space="0" w:color="000000"/>
            </w:tcBorders>
          </w:tcPr>
          <w:p w14:paraId="6546C71D" w14:textId="77777777" w:rsidR="00B507DC" w:rsidRDefault="00E706E6">
            <w:pPr>
              <w:spacing w:line="259" w:lineRule="auto"/>
              <w:ind w:left="0" w:firstLine="0"/>
            </w:pPr>
            <w:r>
              <w:rPr>
                <w:b/>
              </w:rPr>
              <w:t>Le prix de revient peut être calculé comme suit :</w:t>
            </w:r>
          </w:p>
        </w:tc>
      </w:tr>
      <w:tr w:rsidR="00B507DC" w14:paraId="5DF8C603" w14:textId="77777777" w:rsidTr="009B5E17">
        <w:trPr>
          <w:trHeight w:val="378"/>
        </w:trPr>
        <w:tc>
          <w:tcPr>
            <w:tcW w:w="6378" w:type="dxa"/>
            <w:tcBorders>
              <w:top w:val="single" w:sz="6" w:space="0" w:color="D4D4D4"/>
              <w:left w:val="single" w:sz="6" w:space="0" w:color="000000"/>
              <w:bottom w:val="single" w:sz="6" w:space="0" w:color="000000"/>
              <w:right w:val="nil"/>
            </w:tcBorders>
          </w:tcPr>
          <w:p w14:paraId="3E742454" w14:textId="77777777" w:rsidR="00B507DC" w:rsidRDefault="00E706E6">
            <w:pPr>
              <w:spacing w:line="259" w:lineRule="auto"/>
              <w:ind w:left="0" w:firstLine="0"/>
            </w:pPr>
            <w:r>
              <w:rPr>
                <w:b/>
              </w:rPr>
              <w:t>Prix de Revient = 30 000 000 + 800 000</w:t>
            </w:r>
          </w:p>
        </w:tc>
        <w:tc>
          <w:tcPr>
            <w:tcW w:w="2553" w:type="dxa"/>
            <w:tcBorders>
              <w:top w:val="nil"/>
              <w:left w:val="nil"/>
              <w:bottom w:val="single" w:sz="6" w:space="0" w:color="000000"/>
              <w:right w:val="single" w:sz="6" w:space="0" w:color="000000"/>
            </w:tcBorders>
            <w:shd w:val="clear" w:color="auto" w:fill="FFFF00"/>
          </w:tcPr>
          <w:p w14:paraId="08A285EF" w14:textId="77777777" w:rsidR="00B507DC" w:rsidRDefault="00E706E6">
            <w:pPr>
              <w:spacing w:line="259" w:lineRule="auto"/>
              <w:ind w:left="92" w:firstLine="0"/>
            </w:pPr>
            <w:r>
              <w:rPr>
                <w:b/>
              </w:rPr>
              <w:t xml:space="preserve"> 30 800 000</w:t>
            </w:r>
          </w:p>
        </w:tc>
      </w:tr>
    </w:tbl>
    <w:p w14:paraId="2BD15707" w14:textId="77777777" w:rsidR="00B507DC" w:rsidRDefault="00E706E6" w:rsidP="009B5E17">
      <w:pPr>
        <w:ind w:left="-284" w:right="61"/>
      </w:pPr>
      <w:r>
        <w:t xml:space="preserve">Le Prix de Revient des meubles pour ce département s’élève à 30 800 000 </w:t>
      </w:r>
      <w:proofErr w:type="spellStart"/>
      <w:r>
        <w:t>gnf</w:t>
      </w:r>
      <w:proofErr w:type="spellEnd"/>
      <w:r>
        <w:t xml:space="preserve">. </w:t>
      </w:r>
    </w:p>
    <w:p w14:paraId="19047DA3" w14:textId="77777777" w:rsidR="00B507DC" w:rsidRDefault="00E706E6" w:rsidP="009B5E17">
      <w:pPr>
        <w:spacing w:after="0"/>
        <w:ind w:left="-284" w:right="61"/>
      </w:pPr>
      <w:r>
        <w:t xml:space="preserve">Ce chiffre permis à l’administration d’évaluer ; </w:t>
      </w:r>
    </w:p>
    <w:p w14:paraId="5C54A4BD" w14:textId="77777777" w:rsidR="00B507DC" w:rsidRDefault="00E706E6" w:rsidP="009B5E17">
      <w:pPr>
        <w:spacing w:after="0"/>
        <w:ind w:left="-284" w:right="61"/>
      </w:pPr>
      <w:r>
        <w:t xml:space="preserve">Le budget nécessaire pour l’acquisition de nouveaux meubles ; </w:t>
      </w:r>
    </w:p>
    <w:p w14:paraId="3640CE49" w14:textId="77777777" w:rsidR="00B507DC" w:rsidRDefault="00E706E6" w:rsidP="009B5E17">
      <w:pPr>
        <w:spacing w:after="0"/>
        <w:ind w:left="-284" w:right="61"/>
      </w:pPr>
      <w:r>
        <w:t xml:space="preserve">Comparer le coût avec d’autres fournisseurs ; </w:t>
      </w:r>
    </w:p>
    <w:p w14:paraId="6F36A860" w14:textId="77777777" w:rsidR="00B507DC" w:rsidRDefault="00E706E6" w:rsidP="009B5E17">
      <w:pPr>
        <w:spacing w:after="2"/>
        <w:ind w:left="-284" w:right="61"/>
      </w:pPr>
      <w:r>
        <w:t xml:space="preserve">Etablir une base pour d’éventuelles décisions futures concernant l’achat ou le remplacement de ces biens. </w:t>
      </w:r>
    </w:p>
    <w:p w14:paraId="1EE64D42" w14:textId="2FD17A55" w:rsidR="00B507DC" w:rsidRDefault="00E706E6">
      <w:pPr>
        <w:spacing w:after="0" w:line="259" w:lineRule="auto"/>
        <w:ind w:left="0" w:firstLine="0"/>
      </w:pPr>
      <w:r>
        <w:t xml:space="preserve"> </w:t>
      </w:r>
    </w:p>
    <w:p w14:paraId="124ECD5F" w14:textId="74297BB7" w:rsidR="005E3888" w:rsidRDefault="005E3888">
      <w:pPr>
        <w:spacing w:after="0" w:line="259" w:lineRule="auto"/>
        <w:ind w:left="0" w:firstLine="0"/>
      </w:pPr>
    </w:p>
    <w:p w14:paraId="767C233F" w14:textId="13612D30" w:rsidR="005E3888" w:rsidRDefault="005E3888">
      <w:pPr>
        <w:spacing w:after="0" w:line="259" w:lineRule="auto"/>
        <w:ind w:left="0" w:firstLine="0"/>
      </w:pPr>
    </w:p>
    <w:p w14:paraId="1EE79F8A" w14:textId="77777777" w:rsidR="009B5E17" w:rsidRDefault="009B5E17">
      <w:pPr>
        <w:spacing w:after="0" w:line="259" w:lineRule="auto"/>
        <w:ind w:left="0" w:firstLine="0"/>
      </w:pPr>
    </w:p>
    <w:p w14:paraId="0BE5B3BB" w14:textId="77777777" w:rsidR="005E3888" w:rsidRDefault="005E3888">
      <w:pPr>
        <w:spacing w:after="0" w:line="259" w:lineRule="auto"/>
        <w:ind w:left="0" w:firstLine="0"/>
      </w:pPr>
    </w:p>
    <w:p w14:paraId="042EA37D" w14:textId="77777777" w:rsidR="00B507DC" w:rsidRDefault="00E706E6">
      <w:pPr>
        <w:spacing w:after="0" w:line="259" w:lineRule="auto"/>
        <w:ind w:left="0" w:firstLine="0"/>
      </w:pPr>
      <w:r>
        <w:t xml:space="preserve"> </w:t>
      </w:r>
    </w:p>
    <w:tbl>
      <w:tblPr>
        <w:tblStyle w:val="TableGrid"/>
        <w:tblW w:w="9018" w:type="dxa"/>
        <w:tblInd w:w="4" w:type="dxa"/>
        <w:tblCellMar>
          <w:top w:w="65" w:type="dxa"/>
        </w:tblCellMar>
        <w:tblLook w:val="04A0" w:firstRow="1" w:lastRow="0" w:firstColumn="1" w:lastColumn="0" w:noHBand="0" w:noVBand="1"/>
      </w:tblPr>
      <w:tblGrid>
        <w:gridCol w:w="6998"/>
        <w:gridCol w:w="1056"/>
        <w:gridCol w:w="964"/>
      </w:tblGrid>
      <w:tr w:rsidR="00B507DC" w14:paraId="1144415F" w14:textId="77777777">
        <w:trPr>
          <w:trHeight w:val="312"/>
        </w:trPr>
        <w:tc>
          <w:tcPr>
            <w:tcW w:w="8054" w:type="dxa"/>
            <w:gridSpan w:val="2"/>
            <w:tcBorders>
              <w:top w:val="single" w:sz="4" w:space="0" w:color="000000"/>
              <w:left w:val="single" w:sz="4" w:space="0" w:color="000000"/>
              <w:bottom w:val="single" w:sz="4" w:space="0" w:color="E0E0E0"/>
              <w:right w:val="single" w:sz="4" w:space="0" w:color="000000"/>
            </w:tcBorders>
          </w:tcPr>
          <w:p w14:paraId="0C42A2F8" w14:textId="77777777" w:rsidR="00B507DC" w:rsidRDefault="00E706E6">
            <w:pPr>
              <w:spacing w:line="259" w:lineRule="auto"/>
              <w:ind w:left="0" w:right="55" w:firstLine="0"/>
              <w:jc w:val="center"/>
            </w:pPr>
            <w:r>
              <w:rPr>
                <w:b/>
                <w:sz w:val="24"/>
              </w:rPr>
              <w:t xml:space="preserve">Calcul du Prix de Revient </w:t>
            </w:r>
          </w:p>
        </w:tc>
        <w:tc>
          <w:tcPr>
            <w:tcW w:w="964" w:type="dxa"/>
            <w:tcBorders>
              <w:top w:val="single" w:sz="4" w:space="0" w:color="000000"/>
              <w:left w:val="single" w:sz="4" w:space="0" w:color="000000"/>
              <w:bottom w:val="single" w:sz="4" w:space="0" w:color="E0E0E0"/>
              <w:right w:val="single" w:sz="4" w:space="0" w:color="000000"/>
            </w:tcBorders>
          </w:tcPr>
          <w:p w14:paraId="7372AC2D" w14:textId="77777777" w:rsidR="00B507DC" w:rsidRDefault="00B507DC">
            <w:pPr>
              <w:spacing w:line="259" w:lineRule="auto"/>
              <w:ind w:left="0" w:firstLine="0"/>
            </w:pPr>
          </w:p>
        </w:tc>
      </w:tr>
      <w:tr w:rsidR="00B507DC" w14:paraId="5E7C1CCC" w14:textId="77777777">
        <w:trPr>
          <w:trHeight w:val="313"/>
        </w:trPr>
        <w:tc>
          <w:tcPr>
            <w:tcW w:w="6998" w:type="dxa"/>
            <w:tcBorders>
              <w:top w:val="single" w:sz="4" w:space="0" w:color="E0E0E0"/>
              <w:left w:val="single" w:sz="4" w:space="0" w:color="000000"/>
              <w:bottom w:val="single" w:sz="4" w:space="0" w:color="E0E0E0"/>
              <w:right w:val="single" w:sz="4" w:space="0" w:color="E0E0E0"/>
            </w:tcBorders>
          </w:tcPr>
          <w:p w14:paraId="028C9948" w14:textId="77777777" w:rsidR="00B507DC" w:rsidRDefault="00E706E6">
            <w:pPr>
              <w:spacing w:line="259" w:lineRule="auto"/>
              <w:ind w:left="40" w:firstLine="0"/>
            </w:pPr>
            <w:r>
              <w:rPr>
                <w:b/>
                <w:sz w:val="24"/>
              </w:rPr>
              <w:t>A titre d'exemple :</w:t>
            </w:r>
          </w:p>
        </w:tc>
        <w:tc>
          <w:tcPr>
            <w:tcW w:w="1056" w:type="dxa"/>
            <w:tcBorders>
              <w:top w:val="single" w:sz="4" w:space="0" w:color="E0E0E0"/>
              <w:left w:val="single" w:sz="4" w:space="0" w:color="E0E0E0"/>
              <w:bottom w:val="single" w:sz="4" w:space="0" w:color="E0E0E0"/>
              <w:right w:val="single" w:sz="4" w:space="0" w:color="000000"/>
            </w:tcBorders>
          </w:tcPr>
          <w:p w14:paraId="66E1025F"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6124DE96" w14:textId="77777777" w:rsidR="00B507DC" w:rsidRDefault="00B507DC">
            <w:pPr>
              <w:spacing w:line="259" w:lineRule="auto"/>
              <w:ind w:left="0" w:firstLine="0"/>
            </w:pPr>
          </w:p>
        </w:tc>
      </w:tr>
      <w:tr w:rsidR="00B507DC" w14:paraId="7B66DED4"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5A69A50F" w14:textId="77777777" w:rsidR="00B507DC" w:rsidRDefault="00E706E6">
            <w:pPr>
              <w:spacing w:line="259" w:lineRule="auto"/>
              <w:ind w:left="40" w:firstLine="0"/>
            </w:pPr>
            <w:r>
              <w:rPr>
                <w:b/>
                <w:sz w:val="24"/>
              </w:rPr>
              <w:t>Charges directs</w:t>
            </w:r>
          </w:p>
        </w:tc>
        <w:tc>
          <w:tcPr>
            <w:tcW w:w="1056" w:type="dxa"/>
            <w:tcBorders>
              <w:top w:val="single" w:sz="4" w:space="0" w:color="E0E0E0"/>
              <w:left w:val="single" w:sz="4" w:space="0" w:color="E0E0E0"/>
              <w:bottom w:val="single" w:sz="4" w:space="0" w:color="E0E0E0"/>
              <w:right w:val="single" w:sz="4" w:space="0" w:color="000000"/>
            </w:tcBorders>
          </w:tcPr>
          <w:p w14:paraId="21EE2052"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475AA488" w14:textId="77777777" w:rsidR="00B507DC" w:rsidRDefault="00B507DC">
            <w:pPr>
              <w:spacing w:line="259" w:lineRule="auto"/>
              <w:ind w:left="0" w:firstLine="0"/>
            </w:pPr>
          </w:p>
        </w:tc>
      </w:tr>
      <w:tr w:rsidR="00B507DC" w14:paraId="6B41AAA9"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347F5AA9" w14:textId="77777777" w:rsidR="00B507DC" w:rsidRDefault="00E706E6">
            <w:pPr>
              <w:spacing w:line="259" w:lineRule="auto"/>
              <w:ind w:left="40" w:firstLine="0"/>
            </w:pPr>
            <w:r>
              <w:rPr>
                <w:b/>
                <w:sz w:val="24"/>
              </w:rPr>
              <w:t>Coût des matières premières (</w:t>
            </w:r>
            <w:proofErr w:type="spellStart"/>
            <w:r>
              <w:rPr>
                <w:b/>
                <w:sz w:val="24"/>
              </w:rPr>
              <w:t>bois,vernis</w:t>
            </w:r>
            <w:proofErr w:type="spellEnd"/>
            <w:r>
              <w:rPr>
                <w:b/>
                <w:sz w:val="24"/>
              </w:rPr>
              <w:t xml:space="preserve">, </w:t>
            </w:r>
            <w:proofErr w:type="spellStart"/>
            <w:r>
              <w:rPr>
                <w:b/>
                <w:sz w:val="24"/>
              </w:rPr>
              <w:t>etc</w:t>
            </w:r>
            <w:proofErr w:type="spellEnd"/>
            <w:r>
              <w:rPr>
                <w:b/>
                <w:sz w:val="24"/>
              </w:rPr>
              <w:t>)</w:t>
            </w:r>
          </w:p>
        </w:tc>
        <w:tc>
          <w:tcPr>
            <w:tcW w:w="1056" w:type="dxa"/>
            <w:tcBorders>
              <w:top w:val="single" w:sz="4" w:space="0" w:color="E0E0E0"/>
              <w:left w:val="single" w:sz="4" w:space="0" w:color="E0E0E0"/>
              <w:bottom w:val="single" w:sz="4" w:space="0" w:color="E0E0E0"/>
              <w:right w:val="single" w:sz="4" w:space="0" w:color="000000"/>
            </w:tcBorders>
          </w:tcPr>
          <w:p w14:paraId="14C5D1C0" w14:textId="77777777" w:rsidR="00B507DC" w:rsidRDefault="00E706E6">
            <w:pPr>
              <w:spacing w:line="259" w:lineRule="auto"/>
              <w:ind w:left="112" w:firstLine="0"/>
            </w:pPr>
            <w:r>
              <w:rPr>
                <w:b/>
                <w:sz w:val="24"/>
              </w:rPr>
              <w:t xml:space="preserve"> 100 000</w:t>
            </w:r>
          </w:p>
        </w:tc>
        <w:tc>
          <w:tcPr>
            <w:tcW w:w="964" w:type="dxa"/>
            <w:tcBorders>
              <w:top w:val="single" w:sz="4" w:space="0" w:color="E0E0E0"/>
              <w:left w:val="single" w:sz="4" w:space="0" w:color="000000"/>
              <w:bottom w:val="single" w:sz="4" w:space="0" w:color="E0E0E0"/>
              <w:right w:val="single" w:sz="4" w:space="0" w:color="000000"/>
            </w:tcBorders>
          </w:tcPr>
          <w:p w14:paraId="040C69C0" w14:textId="77777777" w:rsidR="00B507DC" w:rsidRDefault="00E706E6">
            <w:pPr>
              <w:spacing w:line="259" w:lineRule="auto"/>
              <w:ind w:left="39" w:firstLine="0"/>
              <w:jc w:val="both"/>
            </w:pPr>
            <w:r>
              <w:rPr>
                <w:sz w:val="24"/>
              </w:rPr>
              <w:t>par table</w:t>
            </w:r>
          </w:p>
        </w:tc>
      </w:tr>
      <w:tr w:rsidR="00B507DC" w14:paraId="381B794E"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513D1346" w14:textId="77777777" w:rsidR="00B507DC" w:rsidRDefault="00E706E6">
            <w:pPr>
              <w:spacing w:line="259" w:lineRule="auto"/>
              <w:ind w:left="40" w:firstLine="0"/>
            </w:pPr>
            <w:r>
              <w:rPr>
                <w:b/>
                <w:sz w:val="24"/>
              </w:rPr>
              <w:t>Coût de la main d'œuvre direct(salaires des ouvriers d'une table)</w:t>
            </w:r>
          </w:p>
        </w:tc>
        <w:tc>
          <w:tcPr>
            <w:tcW w:w="1056" w:type="dxa"/>
            <w:tcBorders>
              <w:top w:val="single" w:sz="4" w:space="0" w:color="E0E0E0"/>
              <w:left w:val="single" w:sz="4" w:space="0" w:color="E0E0E0"/>
              <w:bottom w:val="single" w:sz="4" w:space="0" w:color="E0E0E0"/>
              <w:right w:val="single" w:sz="4" w:space="0" w:color="000000"/>
            </w:tcBorders>
          </w:tcPr>
          <w:p w14:paraId="2F194444" w14:textId="77777777" w:rsidR="00B507DC" w:rsidRDefault="00E706E6">
            <w:pPr>
              <w:spacing w:line="259" w:lineRule="auto"/>
              <w:ind w:left="112" w:firstLine="0"/>
            </w:pPr>
            <w:r>
              <w:rPr>
                <w:b/>
                <w:sz w:val="24"/>
              </w:rPr>
              <w:t xml:space="preserve">   30 000</w:t>
            </w:r>
          </w:p>
        </w:tc>
        <w:tc>
          <w:tcPr>
            <w:tcW w:w="964" w:type="dxa"/>
            <w:tcBorders>
              <w:top w:val="single" w:sz="4" w:space="0" w:color="E0E0E0"/>
              <w:left w:val="single" w:sz="4" w:space="0" w:color="000000"/>
              <w:bottom w:val="single" w:sz="4" w:space="0" w:color="E0E0E0"/>
              <w:right w:val="single" w:sz="4" w:space="0" w:color="000000"/>
            </w:tcBorders>
          </w:tcPr>
          <w:p w14:paraId="775CA464" w14:textId="77777777" w:rsidR="00B507DC" w:rsidRDefault="00E706E6">
            <w:pPr>
              <w:spacing w:line="259" w:lineRule="auto"/>
              <w:ind w:left="39" w:firstLine="0"/>
              <w:jc w:val="both"/>
            </w:pPr>
            <w:r>
              <w:rPr>
                <w:sz w:val="24"/>
              </w:rPr>
              <w:t>par table</w:t>
            </w:r>
          </w:p>
        </w:tc>
      </w:tr>
      <w:tr w:rsidR="00B507DC" w14:paraId="1783898C" w14:textId="77777777">
        <w:trPr>
          <w:trHeight w:val="311"/>
        </w:trPr>
        <w:tc>
          <w:tcPr>
            <w:tcW w:w="6998" w:type="dxa"/>
            <w:tcBorders>
              <w:top w:val="single" w:sz="4" w:space="0" w:color="E0E0E0"/>
              <w:left w:val="single" w:sz="4" w:space="0" w:color="000000"/>
              <w:bottom w:val="single" w:sz="4" w:space="0" w:color="E0E0E0"/>
              <w:right w:val="single" w:sz="4" w:space="0" w:color="E0E0E0"/>
            </w:tcBorders>
          </w:tcPr>
          <w:p w14:paraId="11096B3F" w14:textId="77777777" w:rsidR="00B507DC" w:rsidRDefault="00E706E6">
            <w:pPr>
              <w:spacing w:line="259" w:lineRule="auto"/>
              <w:ind w:left="0" w:right="5" w:firstLine="0"/>
              <w:jc w:val="center"/>
            </w:pPr>
            <w:r>
              <w:rPr>
                <w:b/>
                <w:sz w:val="24"/>
              </w:rPr>
              <w:t>Calcul des charges directs</w:t>
            </w:r>
          </w:p>
        </w:tc>
        <w:tc>
          <w:tcPr>
            <w:tcW w:w="1056" w:type="dxa"/>
            <w:tcBorders>
              <w:top w:val="single" w:sz="4" w:space="0" w:color="E0E0E0"/>
              <w:left w:val="single" w:sz="4" w:space="0" w:color="E0E0E0"/>
              <w:bottom w:val="nil"/>
              <w:right w:val="single" w:sz="4" w:space="0" w:color="000000"/>
            </w:tcBorders>
          </w:tcPr>
          <w:p w14:paraId="3164156C"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6796994A" w14:textId="77777777" w:rsidR="00B507DC" w:rsidRDefault="00B507DC">
            <w:pPr>
              <w:spacing w:line="259" w:lineRule="auto"/>
              <w:ind w:left="0" w:firstLine="0"/>
            </w:pPr>
          </w:p>
        </w:tc>
      </w:tr>
      <w:tr w:rsidR="00B507DC" w14:paraId="7B2CD18C" w14:textId="77777777">
        <w:trPr>
          <w:trHeight w:val="315"/>
        </w:trPr>
        <w:tc>
          <w:tcPr>
            <w:tcW w:w="6998" w:type="dxa"/>
            <w:tcBorders>
              <w:top w:val="single" w:sz="4" w:space="0" w:color="E0E0E0"/>
              <w:left w:val="single" w:sz="4" w:space="0" w:color="000000"/>
              <w:bottom w:val="single" w:sz="4" w:space="0" w:color="E0E0E0"/>
              <w:right w:val="nil"/>
            </w:tcBorders>
          </w:tcPr>
          <w:p w14:paraId="2C407549" w14:textId="77777777" w:rsidR="00B507DC" w:rsidRDefault="00E706E6">
            <w:pPr>
              <w:spacing w:line="259" w:lineRule="auto"/>
              <w:ind w:left="40" w:right="-44" w:firstLine="0"/>
              <w:jc w:val="both"/>
            </w:pPr>
            <w:r>
              <w:rPr>
                <w:b/>
                <w:sz w:val="24"/>
              </w:rPr>
              <w:t>Charges directs total par table = (coût des matières + coût de la main d</w:t>
            </w:r>
          </w:p>
        </w:tc>
        <w:tc>
          <w:tcPr>
            <w:tcW w:w="1056" w:type="dxa"/>
            <w:tcBorders>
              <w:top w:val="nil"/>
              <w:left w:val="nil"/>
              <w:bottom w:val="nil"/>
              <w:right w:val="single" w:sz="4" w:space="0" w:color="000000"/>
            </w:tcBorders>
            <w:shd w:val="clear" w:color="auto" w:fill="FFFF00"/>
          </w:tcPr>
          <w:p w14:paraId="3FE0388D" w14:textId="77777777" w:rsidR="00B507DC" w:rsidRDefault="00E706E6">
            <w:pPr>
              <w:spacing w:line="259" w:lineRule="auto"/>
              <w:ind w:left="112" w:firstLine="0"/>
            </w:pPr>
            <w:r>
              <w:rPr>
                <w:b/>
                <w:sz w:val="24"/>
              </w:rPr>
              <w:t xml:space="preserve"> 130 000</w:t>
            </w:r>
          </w:p>
        </w:tc>
        <w:tc>
          <w:tcPr>
            <w:tcW w:w="964" w:type="dxa"/>
            <w:tcBorders>
              <w:top w:val="single" w:sz="4" w:space="0" w:color="E0E0E0"/>
              <w:left w:val="single" w:sz="4" w:space="0" w:color="000000"/>
              <w:bottom w:val="single" w:sz="4" w:space="0" w:color="E0E0E0"/>
              <w:right w:val="single" w:sz="4" w:space="0" w:color="000000"/>
            </w:tcBorders>
          </w:tcPr>
          <w:p w14:paraId="17E65A8F" w14:textId="77777777" w:rsidR="00B507DC" w:rsidRDefault="00E706E6">
            <w:pPr>
              <w:spacing w:line="259" w:lineRule="auto"/>
              <w:ind w:left="39" w:firstLine="0"/>
              <w:jc w:val="both"/>
            </w:pPr>
            <w:r>
              <w:rPr>
                <w:sz w:val="24"/>
              </w:rPr>
              <w:t>par table</w:t>
            </w:r>
          </w:p>
        </w:tc>
      </w:tr>
      <w:tr w:rsidR="00B507DC" w14:paraId="5DAF32D0" w14:textId="77777777">
        <w:trPr>
          <w:trHeight w:val="311"/>
        </w:trPr>
        <w:tc>
          <w:tcPr>
            <w:tcW w:w="6998" w:type="dxa"/>
            <w:tcBorders>
              <w:top w:val="single" w:sz="4" w:space="0" w:color="E0E0E0"/>
              <w:left w:val="single" w:sz="4" w:space="0" w:color="000000"/>
              <w:bottom w:val="single" w:sz="4" w:space="0" w:color="E0E0E0"/>
              <w:right w:val="single" w:sz="4" w:space="0" w:color="E0E0E0"/>
            </w:tcBorders>
          </w:tcPr>
          <w:p w14:paraId="016FF182" w14:textId="77777777" w:rsidR="00B507DC" w:rsidRDefault="00B507DC">
            <w:pPr>
              <w:spacing w:line="259" w:lineRule="auto"/>
              <w:ind w:left="0" w:firstLine="0"/>
            </w:pPr>
          </w:p>
        </w:tc>
        <w:tc>
          <w:tcPr>
            <w:tcW w:w="1056" w:type="dxa"/>
            <w:tcBorders>
              <w:top w:val="nil"/>
              <w:left w:val="single" w:sz="4" w:space="0" w:color="E0E0E0"/>
              <w:bottom w:val="single" w:sz="4" w:space="0" w:color="E0E0E0"/>
              <w:right w:val="single" w:sz="4" w:space="0" w:color="000000"/>
            </w:tcBorders>
          </w:tcPr>
          <w:p w14:paraId="3E90AF44"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4FA08F88" w14:textId="77777777" w:rsidR="00B507DC" w:rsidRDefault="00B507DC">
            <w:pPr>
              <w:spacing w:line="259" w:lineRule="auto"/>
              <w:ind w:left="0" w:firstLine="0"/>
            </w:pPr>
          </w:p>
        </w:tc>
      </w:tr>
      <w:tr w:rsidR="00B507DC" w14:paraId="7BA7BAA3"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253D50AC" w14:textId="77777777" w:rsidR="00B507DC" w:rsidRDefault="00E706E6">
            <w:pPr>
              <w:spacing w:line="259" w:lineRule="auto"/>
              <w:ind w:left="5" w:firstLine="0"/>
              <w:jc w:val="center"/>
            </w:pPr>
            <w:r>
              <w:rPr>
                <w:b/>
                <w:sz w:val="24"/>
              </w:rPr>
              <w:t>Charges indirects</w:t>
            </w:r>
          </w:p>
        </w:tc>
        <w:tc>
          <w:tcPr>
            <w:tcW w:w="1056" w:type="dxa"/>
            <w:tcBorders>
              <w:top w:val="single" w:sz="4" w:space="0" w:color="E0E0E0"/>
              <w:left w:val="single" w:sz="4" w:space="0" w:color="E0E0E0"/>
              <w:bottom w:val="single" w:sz="4" w:space="0" w:color="E0E0E0"/>
              <w:right w:val="single" w:sz="4" w:space="0" w:color="000000"/>
            </w:tcBorders>
          </w:tcPr>
          <w:p w14:paraId="3C4C9AAB"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61D67733" w14:textId="77777777" w:rsidR="00B507DC" w:rsidRDefault="00B507DC">
            <w:pPr>
              <w:spacing w:line="259" w:lineRule="auto"/>
              <w:ind w:left="0" w:firstLine="0"/>
            </w:pPr>
          </w:p>
        </w:tc>
      </w:tr>
      <w:tr w:rsidR="00B507DC" w14:paraId="198F0D7A" w14:textId="77777777">
        <w:trPr>
          <w:trHeight w:val="313"/>
        </w:trPr>
        <w:tc>
          <w:tcPr>
            <w:tcW w:w="6998" w:type="dxa"/>
            <w:tcBorders>
              <w:top w:val="single" w:sz="4" w:space="0" w:color="E0E0E0"/>
              <w:left w:val="single" w:sz="4" w:space="0" w:color="000000"/>
              <w:bottom w:val="single" w:sz="4" w:space="0" w:color="E0E0E0"/>
              <w:right w:val="single" w:sz="4" w:space="0" w:color="E0E0E0"/>
            </w:tcBorders>
          </w:tcPr>
          <w:p w14:paraId="6CAFFA9F" w14:textId="77777777" w:rsidR="00B507DC" w:rsidRDefault="00E706E6">
            <w:pPr>
              <w:spacing w:line="259" w:lineRule="auto"/>
              <w:ind w:left="40" w:firstLine="0"/>
            </w:pPr>
            <w:r>
              <w:rPr>
                <w:b/>
                <w:sz w:val="24"/>
              </w:rPr>
              <w:t>Charges de production(</w:t>
            </w:r>
            <w:proofErr w:type="spellStart"/>
            <w:r>
              <w:rPr>
                <w:b/>
                <w:sz w:val="24"/>
              </w:rPr>
              <w:t>éléctricité</w:t>
            </w:r>
            <w:proofErr w:type="spellEnd"/>
            <w:r>
              <w:rPr>
                <w:b/>
                <w:sz w:val="24"/>
              </w:rPr>
              <w:t>, amortissement des machines)</w:t>
            </w:r>
          </w:p>
        </w:tc>
        <w:tc>
          <w:tcPr>
            <w:tcW w:w="1056" w:type="dxa"/>
            <w:tcBorders>
              <w:top w:val="single" w:sz="4" w:space="0" w:color="E0E0E0"/>
              <w:left w:val="single" w:sz="4" w:space="0" w:color="E0E0E0"/>
              <w:bottom w:val="single" w:sz="4" w:space="0" w:color="E0E0E0"/>
              <w:right w:val="single" w:sz="4" w:space="0" w:color="000000"/>
            </w:tcBorders>
          </w:tcPr>
          <w:p w14:paraId="362E85E5" w14:textId="77777777" w:rsidR="00B507DC" w:rsidRDefault="00E706E6">
            <w:pPr>
              <w:spacing w:line="259" w:lineRule="auto"/>
              <w:ind w:left="112" w:firstLine="0"/>
            </w:pPr>
            <w:r>
              <w:rPr>
                <w:b/>
                <w:sz w:val="24"/>
              </w:rPr>
              <w:t xml:space="preserve"> 200 000</w:t>
            </w:r>
          </w:p>
        </w:tc>
        <w:tc>
          <w:tcPr>
            <w:tcW w:w="964" w:type="dxa"/>
            <w:tcBorders>
              <w:top w:val="single" w:sz="4" w:space="0" w:color="E0E0E0"/>
              <w:left w:val="single" w:sz="4" w:space="0" w:color="000000"/>
              <w:bottom w:val="single" w:sz="4" w:space="0" w:color="E0E0E0"/>
              <w:right w:val="single" w:sz="4" w:space="0" w:color="000000"/>
            </w:tcBorders>
          </w:tcPr>
          <w:p w14:paraId="31D37DD4" w14:textId="77777777" w:rsidR="00B507DC" w:rsidRDefault="00E706E6">
            <w:pPr>
              <w:spacing w:line="259" w:lineRule="auto"/>
              <w:ind w:left="39" w:firstLine="0"/>
              <w:jc w:val="both"/>
            </w:pPr>
            <w:r>
              <w:rPr>
                <w:sz w:val="24"/>
              </w:rPr>
              <w:t>par mois</w:t>
            </w:r>
          </w:p>
        </w:tc>
      </w:tr>
      <w:tr w:rsidR="00B507DC" w14:paraId="6C41EE3D"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2004C489" w14:textId="77777777" w:rsidR="00B507DC" w:rsidRDefault="00E706E6">
            <w:pPr>
              <w:spacing w:line="259" w:lineRule="auto"/>
              <w:ind w:left="40" w:firstLine="0"/>
            </w:pPr>
            <w:r>
              <w:rPr>
                <w:b/>
                <w:sz w:val="24"/>
              </w:rPr>
              <w:t>Charges administratives</w:t>
            </w:r>
          </w:p>
        </w:tc>
        <w:tc>
          <w:tcPr>
            <w:tcW w:w="1056" w:type="dxa"/>
            <w:tcBorders>
              <w:top w:val="single" w:sz="4" w:space="0" w:color="E0E0E0"/>
              <w:left w:val="single" w:sz="4" w:space="0" w:color="E0E0E0"/>
              <w:bottom w:val="single" w:sz="4" w:space="0" w:color="E0E0E0"/>
              <w:right w:val="single" w:sz="4" w:space="0" w:color="000000"/>
            </w:tcBorders>
          </w:tcPr>
          <w:p w14:paraId="71F46C9F" w14:textId="77777777" w:rsidR="00B507DC" w:rsidRDefault="00E706E6">
            <w:pPr>
              <w:spacing w:line="259" w:lineRule="auto"/>
              <w:ind w:left="112" w:firstLine="0"/>
            </w:pPr>
            <w:r>
              <w:rPr>
                <w:b/>
                <w:sz w:val="24"/>
              </w:rPr>
              <w:t xml:space="preserve">      1 000</w:t>
            </w:r>
          </w:p>
        </w:tc>
        <w:tc>
          <w:tcPr>
            <w:tcW w:w="964" w:type="dxa"/>
            <w:tcBorders>
              <w:top w:val="single" w:sz="4" w:space="0" w:color="E0E0E0"/>
              <w:left w:val="single" w:sz="4" w:space="0" w:color="000000"/>
              <w:bottom w:val="single" w:sz="4" w:space="0" w:color="E0E0E0"/>
              <w:right w:val="single" w:sz="4" w:space="0" w:color="000000"/>
            </w:tcBorders>
          </w:tcPr>
          <w:p w14:paraId="48F7FA16" w14:textId="77777777" w:rsidR="00B507DC" w:rsidRDefault="00E706E6">
            <w:pPr>
              <w:spacing w:line="259" w:lineRule="auto"/>
              <w:ind w:left="39" w:firstLine="0"/>
              <w:jc w:val="both"/>
            </w:pPr>
            <w:r>
              <w:rPr>
                <w:sz w:val="24"/>
              </w:rPr>
              <w:t>par mois</w:t>
            </w:r>
          </w:p>
        </w:tc>
      </w:tr>
      <w:tr w:rsidR="00B507DC" w14:paraId="76277B4A"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385D889B" w14:textId="77777777" w:rsidR="00B507DC" w:rsidRDefault="00E706E6">
            <w:pPr>
              <w:spacing w:line="259" w:lineRule="auto"/>
              <w:ind w:left="40" w:firstLine="0"/>
            </w:pPr>
            <w:r>
              <w:rPr>
                <w:b/>
                <w:sz w:val="24"/>
              </w:rPr>
              <w:t>Nombre de tables produites par mois</w:t>
            </w:r>
          </w:p>
        </w:tc>
        <w:tc>
          <w:tcPr>
            <w:tcW w:w="1056" w:type="dxa"/>
            <w:tcBorders>
              <w:top w:val="single" w:sz="4" w:space="0" w:color="E0E0E0"/>
              <w:left w:val="single" w:sz="4" w:space="0" w:color="E0E0E0"/>
              <w:bottom w:val="single" w:sz="4" w:space="0" w:color="E0E0E0"/>
              <w:right w:val="single" w:sz="4" w:space="0" w:color="000000"/>
            </w:tcBorders>
          </w:tcPr>
          <w:p w14:paraId="774E7241" w14:textId="77777777" w:rsidR="00B507DC" w:rsidRDefault="00E706E6">
            <w:pPr>
              <w:spacing w:line="259" w:lineRule="auto"/>
              <w:ind w:left="112" w:firstLine="0"/>
            </w:pPr>
            <w:r>
              <w:rPr>
                <w:b/>
                <w:sz w:val="24"/>
              </w:rPr>
              <w:t xml:space="preserve">         100</w:t>
            </w:r>
          </w:p>
        </w:tc>
        <w:tc>
          <w:tcPr>
            <w:tcW w:w="964" w:type="dxa"/>
            <w:tcBorders>
              <w:top w:val="single" w:sz="4" w:space="0" w:color="E0E0E0"/>
              <w:left w:val="single" w:sz="4" w:space="0" w:color="000000"/>
              <w:bottom w:val="single" w:sz="4" w:space="0" w:color="E0E0E0"/>
              <w:right w:val="single" w:sz="4" w:space="0" w:color="000000"/>
            </w:tcBorders>
          </w:tcPr>
          <w:p w14:paraId="1782208D" w14:textId="77777777" w:rsidR="00B507DC" w:rsidRDefault="00E706E6">
            <w:pPr>
              <w:spacing w:line="259" w:lineRule="auto"/>
              <w:ind w:left="39" w:firstLine="0"/>
              <w:jc w:val="both"/>
            </w:pPr>
            <w:r>
              <w:rPr>
                <w:sz w:val="24"/>
              </w:rPr>
              <w:t>par mois</w:t>
            </w:r>
          </w:p>
        </w:tc>
      </w:tr>
      <w:tr w:rsidR="00B507DC" w14:paraId="52357616"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63B1BD51" w14:textId="77777777" w:rsidR="00B507DC" w:rsidRDefault="00E706E6">
            <w:pPr>
              <w:spacing w:line="259" w:lineRule="auto"/>
              <w:ind w:left="3" w:firstLine="0"/>
              <w:jc w:val="center"/>
            </w:pPr>
            <w:r>
              <w:rPr>
                <w:b/>
                <w:sz w:val="24"/>
              </w:rPr>
              <w:t>Calcul des charges indirects</w:t>
            </w:r>
          </w:p>
        </w:tc>
        <w:tc>
          <w:tcPr>
            <w:tcW w:w="1056" w:type="dxa"/>
            <w:tcBorders>
              <w:top w:val="single" w:sz="4" w:space="0" w:color="E0E0E0"/>
              <w:left w:val="single" w:sz="4" w:space="0" w:color="E0E0E0"/>
              <w:bottom w:val="nil"/>
              <w:right w:val="single" w:sz="4" w:space="0" w:color="000000"/>
            </w:tcBorders>
          </w:tcPr>
          <w:p w14:paraId="34B8BAF2"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2DE8ACAF" w14:textId="77777777" w:rsidR="00B507DC" w:rsidRDefault="00B507DC">
            <w:pPr>
              <w:spacing w:line="259" w:lineRule="auto"/>
              <w:ind w:left="0" w:firstLine="0"/>
            </w:pPr>
          </w:p>
        </w:tc>
      </w:tr>
      <w:tr w:rsidR="00B507DC" w14:paraId="1CA5AF85" w14:textId="77777777">
        <w:trPr>
          <w:trHeight w:val="315"/>
        </w:trPr>
        <w:tc>
          <w:tcPr>
            <w:tcW w:w="6998" w:type="dxa"/>
            <w:tcBorders>
              <w:top w:val="single" w:sz="4" w:space="0" w:color="E0E0E0"/>
              <w:left w:val="single" w:sz="4" w:space="0" w:color="000000"/>
              <w:bottom w:val="single" w:sz="4" w:space="0" w:color="E0E0E0"/>
              <w:right w:val="nil"/>
            </w:tcBorders>
          </w:tcPr>
          <w:p w14:paraId="680012E4" w14:textId="77777777" w:rsidR="00B507DC" w:rsidRDefault="00E706E6">
            <w:pPr>
              <w:spacing w:line="259" w:lineRule="auto"/>
              <w:ind w:left="-68" w:right="-35" w:firstLine="0"/>
              <w:jc w:val="both"/>
            </w:pPr>
            <w:r>
              <w:rPr>
                <w:b/>
                <w:sz w:val="24"/>
              </w:rPr>
              <w:t xml:space="preserve">s charges indirects par mois = (charges de production + charges </w:t>
            </w:r>
            <w:proofErr w:type="spellStart"/>
            <w:r>
              <w:rPr>
                <w:b/>
                <w:sz w:val="24"/>
              </w:rPr>
              <w:t>adminis</w:t>
            </w:r>
            <w:proofErr w:type="spellEnd"/>
          </w:p>
        </w:tc>
        <w:tc>
          <w:tcPr>
            <w:tcW w:w="1056" w:type="dxa"/>
            <w:tcBorders>
              <w:top w:val="nil"/>
              <w:left w:val="nil"/>
              <w:bottom w:val="nil"/>
              <w:right w:val="single" w:sz="4" w:space="0" w:color="000000"/>
            </w:tcBorders>
            <w:shd w:val="clear" w:color="auto" w:fill="FFFF00"/>
          </w:tcPr>
          <w:p w14:paraId="65E19A0E" w14:textId="77777777" w:rsidR="00B507DC" w:rsidRDefault="00E706E6">
            <w:pPr>
              <w:spacing w:line="259" w:lineRule="auto"/>
              <w:ind w:left="112" w:firstLine="0"/>
            </w:pPr>
            <w:r>
              <w:rPr>
                <w:b/>
                <w:sz w:val="24"/>
              </w:rPr>
              <w:t xml:space="preserve"> 201 000</w:t>
            </w:r>
          </w:p>
        </w:tc>
        <w:tc>
          <w:tcPr>
            <w:tcW w:w="964" w:type="dxa"/>
            <w:tcBorders>
              <w:top w:val="single" w:sz="4" w:space="0" w:color="E0E0E0"/>
              <w:left w:val="single" w:sz="4" w:space="0" w:color="000000"/>
              <w:bottom w:val="single" w:sz="4" w:space="0" w:color="E0E0E0"/>
              <w:right w:val="single" w:sz="4" w:space="0" w:color="000000"/>
            </w:tcBorders>
          </w:tcPr>
          <w:p w14:paraId="1ADFF423" w14:textId="77777777" w:rsidR="00B507DC" w:rsidRDefault="00E706E6">
            <w:pPr>
              <w:spacing w:line="259" w:lineRule="auto"/>
              <w:ind w:left="39" w:firstLine="0"/>
              <w:jc w:val="both"/>
            </w:pPr>
            <w:r>
              <w:rPr>
                <w:sz w:val="24"/>
              </w:rPr>
              <w:t>par mois</w:t>
            </w:r>
          </w:p>
        </w:tc>
      </w:tr>
      <w:tr w:rsidR="00B507DC" w14:paraId="59EDFE6C" w14:textId="77777777">
        <w:trPr>
          <w:trHeight w:val="311"/>
        </w:trPr>
        <w:tc>
          <w:tcPr>
            <w:tcW w:w="6998" w:type="dxa"/>
            <w:tcBorders>
              <w:top w:val="single" w:sz="4" w:space="0" w:color="E0E0E0"/>
              <w:left w:val="single" w:sz="4" w:space="0" w:color="000000"/>
              <w:bottom w:val="single" w:sz="4" w:space="0" w:color="E0E0E0"/>
              <w:right w:val="single" w:sz="4" w:space="0" w:color="E0E0E0"/>
            </w:tcBorders>
          </w:tcPr>
          <w:p w14:paraId="1B4B3BC3" w14:textId="77777777" w:rsidR="00B507DC" w:rsidRDefault="00B507DC">
            <w:pPr>
              <w:spacing w:line="259" w:lineRule="auto"/>
              <w:ind w:left="0" w:firstLine="0"/>
            </w:pPr>
          </w:p>
        </w:tc>
        <w:tc>
          <w:tcPr>
            <w:tcW w:w="1056" w:type="dxa"/>
            <w:tcBorders>
              <w:top w:val="nil"/>
              <w:left w:val="single" w:sz="4" w:space="0" w:color="E0E0E0"/>
              <w:bottom w:val="single" w:sz="4" w:space="0" w:color="E0E0E0"/>
              <w:right w:val="single" w:sz="4" w:space="0" w:color="000000"/>
            </w:tcBorders>
          </w:tcPr>
          <w:p w14:paraId="30407564"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33E45718" w14:textId="77777777" w:rsidR="00B507DC" w:rsidRDefault="00B507DC">
            <w:pPr>
              <w:spacing w:line="259" w:lineRule="auto"/>
              <w:ind w:left="0" w:firstLine="0"/>
            </w:pPr>
          </w:p>
        </w:tc>
      </w:tr>
      <w:tr w:rsidR="00B507DC" w14:paraId="7997F8E7"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1A4652BF" w14:textId="77777777" w:rsidR="00B507DC" w:rsidRDefault="00E706E6">
            <w:pPr>
              <w:spacing w:line="259" w:lineRule="auto"/>
              <w:ind w:left="0" w:firstLine="0"/>
              <w:jc w:val="center"/>
            </w:pPr>
            <w:r>
              <w:rPr>
                <w:b/>
                <w:sz w:val="24"/>
              </w:rPr>
              <w:t>Calcul des charges indirects par table</w:t>
            </w:r>
          </w:p>
        </w:tc>
        <w:tc>
          <w:tcPr>
            <w:tcW w:w="1056" w:type="dxa"/>
            <w:tcBorders>
              <w:top w:val="single" w:sz="4" w:space="0" w:color="E0E0E0"/>
              <w:left w:val="single" w:sz="4" w:space="0" w:color="E0E0E0"/>
              <w:bottom w:val="nil"/>
              <w:right w:val="single" w:sz="4" w:space="0" w:color="000000"/>
            </w:tcBorders>
          </w:tcPr>
          <w:p w14:paraId="16E1373D"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5910EE6F" w14:textId="77777777" w:rsidR="00B507DC" w:rsidRDefault="00B507DC">
            <w:pPr>
              <w:spacing w:line="259" w:lineRule="auto"/>
              <w:ind w:left="0" w:firstLine="0"/>
            </w:pPr>
          </w:p>
        </w:tc>
      </w:tr>
      <w:tr w:rsidR="00B507DC" w14:paraId="269BA033" w14:textId="77777777">
        <w:trPr>
          <w:trHeight w:val="315"/>
        </w:trPr>
        <w:tc>
          <w:tcPr>
            <w:tcW w:w="6998" w:type="dxa"/>
            <w:tcBorders>
              <w:top w:val="single" w:sz="4" w:space="0" w:color="E0E0E0"/>
              <w:left w:val="single" w:sz="4" w:space="0" w:color="000000"/>
              <w:bottom w:val="single" w:sz="4" w:space="0" w:color="E0E0E0"/>
              <w:right w:val="nil"/>
            </w:tcBorders>
          </w:tcPr>
          <w:p w14:paraId="5634BB4A" w14:textId="77777777" w:rsidR="00B507DC" w:rsidRDefault="00E706E6">
            <w:pPr>
              <w:spacing w:line="259" w:lineRule="auto"/>
              <w:ind w:left="-15" w:firstLine="0"/>
              <w:jc w:val="both"/>
            </w:pPr>
            <w:r>
              <w:rPr>
                <w:b/>
                <w:sz w:val="24"/>
              </w:rPr>
              <w:t xml:space="preserve"> indirects par tables = (total des charges indirects/nombre de tables </w:t>
            </w:r>
            <w:proofErr w:type="spellStart"/>
            <w:r>
              <w:rPr>
                <w:b/>
                <w:sz w:val="24"/>
              </w:rPr>
              <w:t>pr</w:t>
            </w:r>
            <w:proofErr w:type="spellEnd"/>
          </w:p>
        </w:tc>
        <w:tc>
          <w:tcPr>
            <w:tcW w:w="1056" w:type="dxa"/>
            <w:tcBorders>
              <w:top w:val="nil"/>
              <w:left w:val="nil"/>
              <w:bottom w:val="nil"/>
              <w:right w:val="single" w:sz="4" w:space="0" w:color="000000"/>
            </w:tcBorders>
            <w:shd w:val="clear" w:color="auto" w:fill="FFFF00"/>
          </w:tcPr>
          <w:p w14:paraId="4001EC03" w14:textId="77777777" w:rsidR="00B507DC" w:rsidRDefault="00E706E6">
            <w:pPr>
              <w:spacing w:line="259" w:lineRule="auto"/>
              <w:ind w:left="-18" w:firstLine="0"/>
            </w:pPr>
            <w:r>
              <w:rPr>
                <w:b/>
                <w:sz w:val="24"/>
              </w:rPr>
              <w:t>o      2 010</w:t>
            </w:r>
          </w:p>
        </w:tc>
        <w:tc>
          <w:tcPr>
            <w:tcW w:w="964" w:type="dxa"/>
            <w:tcBorders>
              <w:top w:val="single" w:sz="4" w:space="0" w:color="E0E0E0"/>
              <w:left w:val="single" w:sz="4" w:space="0" w:color="000000"/>
              <w:bottom w:val="single" w:sz="4" w:space="0" w:color="E0E0E0"/>
              <w:right w:val="single" w:sz="4" w:space="0" w:color="000000"/>
            </w:tcBorders>
          </w:tcPr>
          <w:p w14:paraId="24C7F8AC" w14:textId="77777777" w:rsidR="00B507DC" w:rsidRDefault="00E706E6">
            <w:pPr>
              <w:spacing w:line="259" w:lineRule="auto"/>
              <w:ind w:left="39" w:firstLine="0"/>
              <w:jc w:val="both"/>
            </w:pPr>
            <w:r>
              <w:rPr>
                <w:sz w:val="24"/>
              </w:rPr>
              <w:t>par table</w:t>
            </w:r>
          </w:p>
        </w:tc>
      </w:tr>
      <w:tr w:rsidR="00B507DC" w14:paraId="72304AA4"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3B5D8378" w14:textId="77777777" w:rsidR="00B507DC" w:rsidRDefault="00B507DC">
            <w:pPr>
              <w:spacing w:line="259" w:lineRule="auto"/>
              <w:ind w:left="0" w:firstLine="0"/>
            </w:pPr>
          </w:p>
        </w:tc>
        <w:tc>
          <w:tcPr>
            <w:tcW w:w="1056" w:type="dxa"/>
            <w:tcBorders>
              <w:top w:val="nil"/>
              <w:left w:val="single" w:sz="4" w:space="0" w:color="E0E0E0"/>
              <w:bottom w:val="single" w:sz="4" w:space="0" w:color="E0E0E0"/>
              <w:right w:val="single" w:sz="4" w:space="0" w:color="000000"/>
            </w:tcBorders>
          </w:tcPr>
          <w:p w14:paraId="0D895C40"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69A4CBEE" w14:textId="77777777" w:rsidR="00B507DC" w:rsidRDefault="00B507DC">
            <w:pPr>
              <w:spacing w:line="259" w:lineRule="auto"/>
              <w:ind w:left="0" w:firstLine="0"/>
            </w:pPr>
          </w:p>
        </w:tc>
      </w:tr>
      <w:tr w:rsidR="00B507DC" w14:paraId="1681ADBA"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41AC65F9" w14:textId="77777777" w:rsidR="00B507DC" w:rsidRDefault="00E706E6">
            <w:pPr>
              <w:spacing w:line="259" w:lineRule="auto"/>
              <w:ind w:left="1" w:firstLine="0"/>
              <w:jc w:val="center"/>
            </w:pPr>
            <w:r>
              <w:rPr>
                <w:b/>
                <w:sz w:val="24"/>
              </w:rPr>
              <w:t>Coût total de production par table</w:t>
            </w:r>
          </w:p>
        </w:tc>
        <w:tc>
          <w:tcPr>
            <w:tcW w:w="1056" w:type="dxa"/>
            <w:tcBorders>
              <w:top w:val="single" w:sz="4" w:space="0" w:color="E0E0E0"/>
              <w:left w:val="single" w:sz="4" w:space="0" w:color="E0E0E0"/>
              <w:bottom w:val="single" w:sz="4" w:space="0" w:color="E0E0E0"/>
              <w:right w:val="single" w:sz="4" w:space="0" w:color="000000"/>
            </w:tcBorders>
          </w:tcPr>
          <w:p w14:paraId="0DD0C69F"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1D6067FA" w14:textId="77777777" w:rsidR="00B507DC" w:rsidRDefault="00B507DC">
            <w:pPr>
              <w:spacing w:line="259" w:lineRule="auto"/>
              <w:ind w:left="0" w:firstLine="0"/>
            </w:pPr>
          </w:p>
        </w:tc>
      </w:tr>
      <w:tr w:rsidR="00B507DC" w14:paraId="03830831" w14:textId="77777777">
        <w:trPr>
          <w:trHeight w:val="312"/>
        </w:trPr>
        <w:tc>
          <w:tcPr>
            <w:tcW w:w="6998" w:type="dxa"/>
            <w:tcBorders>
              <w:top w:val="single" w:sz="4" w:space="0" w:color="E0E0E0"/>
              <w:left w:val="single" w:sz="4" w:space="0" w:color="000000"/>
              <w:bottom w:val="single" w:sz="4" w:space="0" w:color="E0E0E0"/>
              <w:right w:val="single" w:sz="4" w:space="0" w:color="E0E0E0"/>
            </w:tcBorders>
          </w:tcPr>
          <w:p w14:paraId="07F26C20" w14:textId="77777777" w:rsidR="00B507DC" w:rsidRDefault="00E706E6">
            <w:pPr>
              <w:spacing w:line="259" w:lineRule="auto"/>
              <w:ind w:left="40" w:firstLine="0"/>
            </w:pPr>
            <w:r>
              <w:rPr>
                <w:b/>
                <w:sz w:val="24"/>
              </w:rPr>
              <w:t>Coût total par table = ( charges directs + charges indirects)</w:t>
            </w:r>
          </w:p>
        </w:tc>
        <w:tc>
          <w:tcPr>
            <w:tcW w:w="1056" w:type="dxa"/>
            <w:tcBorders>
              <w:top w:val="single" w:sz="4" w:space="0" w:color="E0E0E0"/>
              <w:left w:val="single" w:sz="4" w:space="0" w:color="E0E0E0"/>
              <w:bottom w:val="single" w:sz="4" w:space="0" w:color="E0E0E0"/>
              <w:right w:val="single" w:sz="4" w:space="0" w:color="000000"/>
            </w:tcBorders>
          </w:tcPr>
          <w:p w14:paraId="7A2AB9E6" w14:textId="77777777" w:rsidR="00B507DC" w:rsidRDefault="00E706E6">
            <w:pPr>
              <w:spacing w:line="259" w:lineRule="auto"/>
              <w:ind w:left="112" w:firstLine="0"/>
            </w:pPr>
            <w:r>
              <w:rPr>
                <w:b/>
                <w:sz w:val="24"/>
              </w:rPr>
              <w:t xml:space="preserve"> 132 010</w:t>
            </w:r>
          </w:p>
        </w:tc>
        <w:tc>
          <w:tcPr>
            <w:tcW w:w="964" w:type="dxa"/>
            <w:tcBorders>
              <w:top w:val="single" w:sz="4" w:space="0" w:color="E0E0E0"/>
              <w:left w:val="single" w:sz="4" w:space="0" w:color="000000"/>
              <w:bottom w:val="single" w:sz="4" w:space="0" w:color="E0E0E0"/>
              <w:right w:val="single" w:sz="4" w:space="0" w:color="000000"/>
            </w:tcBorders>
          </w:tcPr>
          <w:p w14:paraId="542AA82F" w14:textId="77777777" w:rsidR="00B507DC" w:rsidRDefault="00B507DC">
            <w:pPr>
              <w:spacing w:line="259" w:lineRule="auto"/>
              <w:ind w:left="0" w:firstLine="0"/>
            </w:pPr>
          </w:p>
        </w:tc>
      </w:tr>
      <w:tr w:rsidR="00B507DC" w14:paraId="1A7C1A0E" w14:textId="77777777">
        <w:trPr>
          <w:trHeight w:val="313"/>
        </w:trPr>
        <w:tc>
          <w:tcPr>
            <w:tcW w:w="6998" w:type="dxa"/>
            <w:tcBorders>
              <w:top w:val="single" w:sz="4" w:space="0" w:color="E0E0E0"/>
              <w:left w:val="single" w:sz="4" w:space="0" w:color="000000"/>
              <w:bottom w:val="single" w:sz="4" w:space="0" w:color="E0E0E0"/>
              <w:right w:val="single" w:sz="4" w:space="0" w:color="E0E0E0"/>
            </w:tcBorders>
          </w:tcPr>
          <w:p w14:paraId="54DDEF9B" w14:textId="77777777" w:rsidR="00B507DC" w:rsidRDefault="00B507DC">
            <w:pPr>
              <w:spacing w:line="259" w:lineRule="auto"/>
              <w:ind w:left="0" w:firstLine="0"/>
            </w:pPr>
          </w:p>
        </w:tc>
        <w:tc>
          <w:tcPr>
            <w:tcW w:w="1056" w:type="dxa"/>
            <w:tcBorders>
              <w:top w:val="single" w:sz="4" w:space="0" w:color="E0E0E0"/>
              <w:left w:val="single" w:sz="4" w:space="0" w:color="E0E0E0"/>
              <w:bottom w:val="single" w:sz="4" w:space="0" w:color="E0E0E0"/>
              <w:right w:val="single" w:sz="4" w:space="0" w:color="000000"/>
            </w:tcBorders>
          </w:tcPr>
          <w:p w14:paraId="613DE2CD" w14:textId="77777777" w:rsidR="00B507DC" w:rsidRDefault="00B507DC">
            <w:pPr>
              <w:spacing w:line="259" w:lineRule="auto"/>
              <w:ind w:left="0" w:firstLine="0"/>
            </w:pPr>
          </w:p>
        </w:tc>
        <w:tc>
          <w:tcPr>
            <w:tcW w:w="964" w:type="dxa"/>
            <w:tcBorders>
              <w:top w:val="single" w:sz="4" w:space="0" w:color="E0E0E0"/>
              <w:left w:val="single" w:sz="4" w:space="0" w:color="000000"/>
              <w:bottom w:val="single" w:sz="4" w:space="0" w:color="E0E0E0"/>
              <w:right w:val="single" w:sz="4" w:space="0" w:color="000000"/>
            </w:tcBorders>
          </w:tcPr>
          <w:p w14:paraId="1E32B5FB" w14:textId="77777777" w:rsidR="00B507DC" w:rsidRDefault="00B507DC">
            <w:pPr>
              <w:spacing w:line="259" w:lineRule="auto"/>
              <w:ind w:left="0" w:firstLine="0"/>
            </w:pPr>
          </w:p>
        </w:tc>
      </w:tr>
      <w:tr w:rsidR="00B507DC" w14:paraId="72B7F1FF" w14:textId="77777777">
        <w:trPr>
          <w:trHeight w:val="313"/>
        </w:trPr>
        <w:tc>
          <w:tcPr>
            <w:tcW w:w="6998" w:type="dxa"/>
            <w:tcBorders>
              <w:top w:val="single" w:sz="4" w:space="0" w:color="E0E0E0"/>
              <w:left w:val="single" w:sz="4" w:space="0" w:color="000000"/>
              <w:bottom w:val="single" w:sz="4" w:space="0" w:color="000000"/>
              <w:right w:val="single" w:sz="4" w:space="0" w:color="E0E0E0"/>
            </w:tcBorders>
          </w:tcPr>
          <w:p w14:paraId="26004395" w14:textId="77777777" w:rsidR="00B507DC" w:rsidRDefault="00E706E6">
            <w:pPr>
              <w:spacing w:line="259" w:lineRule="auto"/>
              <w:ind w:left="40" w:firstLine="0"/>
            </w:pPr>
            <w:r>
              <w:rPr>
                <w:b/>
                <w:color w:val="FF0000"/>
                <w:sz w:val="24"/>
              </w:rPr>
              <w:t>Le coût total de production par table</w:t>
            </w:r>
          </w:p>
        </w:tc>
        <w:tc>
          <w:tcPr>
            <w:tcW w:w="1056" w:type="dxa"/>
            <w:tcBorders>
              <w:top w:val="single" w:sz="4" w:space="0" w:color="E0E0E0"/>
              <w:left w:val="single" w:sz="4" w:space="0" w:color="E0E0E0"/>
              <w:bottom w:val="single" w:sz="4" w:space="0" w:color="000000"/>
              <w:right w:val="single" w:sz="4" w:space="0" w:color="000000"/>
            </w:tcBorders>
          </w:tcPr>
          <w:p w14:paraId="732D8351" w14:textId="77777777" w:rsidR="00B507DC" w:rsidRDefault="00E706E6">
            <w:pPr>
              <w:spacing w:line="259" w:lineRule="auto"/>
              <w:ind w:left="112" w:firstLine="0"/>
            </w:pPr>
            <w:r>
              <w:rPr>
                <w:b/>
                <w:color w:val="FF0000"/>
                <w:sz w:val="24"/>
              </w:rPr>
              <w:t xml:space="preserve"> 132 010</w:t>
            </w:r>
          </w:p>
        </w:tc>
        <w:tc>
          <w:tcPr>
            <w:tcW w:w="964" w:type="dxa"/>
            <w:tcBorders>
              <w:top w:val="single" w:sz="4" w:space="0" w:color="E0E0E0"/>
              <w:left w:val="single" w:sz="4" w:space="0" w:color="000000"/>
              <w:bottom w:val="single" w:sz="4" w:space="0" w:color="000000"/>
              <w:right w:val="single" w:sz="4" w:space="0" w:color="000000"/>
            </w:tcBorders>
          </w:tcPr>
          <w:p w14:paraId="3413B29D" w14:textId="77777777" w:rsidR="00B507DC" w:rsidRDefault="00B507DC">
            <w:pPr>
              <w:spacing w:line="259" w:lineRule="auto"/>
              <w:ind w:left="0" w:firstLine="0"/>
            </w:pPr>
          </w:p>
        </w:tc>
      </w:tr>
    </w:tbl>
    <w:p w14:paraId="15CBAFFC" w14:textId="77777777" w:rsidR="00B507DC" w:rsidRDefault="00E706E6">
      <w:pPr>
        <w:spacing w:after="0" w:line="259" w:lineRule="auto"/>
        <w:ind w:left="0" w:firstLine="0"/>
      </w:pPr>
      <w:r>
        <w:t xml:space="preserve"> </w:t>
      </w:r>
    </w:p>
    <w:p w14:paraId="422B2333" w14:textId="77777777" w:rsidR="00B507DC" w:rsidRPr="009B5E17" w:rsidRDefault="00E706E6">
      <w:pPr>
        <w:spacing w:after="14" w:line="248" w:lineRule="auto"/>
        <w:ind w:left="-5" w:right="19"/>
        <w:rPr>
          <w:rFonts w:asciiTheme="majorHAnsi" w:hAnsiTheme="majorHAnsi" w:cstheme="majorHAnsi"/>
          <w:sz w:val="36"/>
          <w:szCs w:val="28"/>
        </w:rPr>
      </w:pPr>
      <w:r w:rsidRPr="009B5E17">
        <w:rPr>
          <w:rFonts w:asciiTheme="majorHAnsi" w:hAnsiTheme="majorHAnsi" w:cstheme="majorHAnsi"/>
          <w:szCs w:val="28"/>
        </w:rPr>
        <w:t xml:space="preserve">Le coût de production total par table est de 132 010 GNF. Si vous vendez la table à un prix supérieur à ce montant, vous réaliserez un bénéfice.   </w:t>
      </w:r>
      <w:r w:rsidRPr="009B5E17">
        <w:rPr>
          <w:rFonts w:asciiTheme="majorHAnsi" w:hAnsiTheme="majorHAnsi" w:cstheme="majorHAnsi"/>
          <w:sz w:val="36"/>
          <w:szCs w:val="28"/>
        </w:rPr>
        <w:t xml:space="preserve"> </w:t>
      </w:r>
    </w:p>
    <w:p w14:paraId="0BF22E67" w14:textId="6F834E06" w:rsidR="00B507DC" w:rsidRPr="009B5E17" w:rsidRDefault="00E706E6">
      <w:pPr>
        <w:spacing w:after="3" w:line="259" w:lineRule="auto"/>
        <w:ind w:left="0" w:firstLine="0"/>
        <w:rPr>
          <w:rFonts w:asciiTheme="majorHAnsi" w:hAnsiTheme="majorHAnsi" w:cstheme="majorHAnsi"/>
          <w:sz w:val="36"/>
          <w:szCs w:val="28"/>
        </w:rPr>
      </w:pPr>
      <w:r w:rsidRPr="009B5E17">
        <w:rPr>
          <w:rFonts w:asciiTheme="majorHAnsi" w:hAnsiTheme="majorHAnsi" w:cstheme="majorHAnsi"/>
          <w:sz w:val="36"/>
          <w:szCs w:val="28"/>
        </w:rPr>
        <w:t xml:space="preserve"> </w:t>
      </w:r>
    </w:p>
    <w:p w14:paraId="1B55344B" w14:textId="77777777" w:rsidR="005E3888" w:rsidRDefault="005E3888">
      <w:pPr>
        <w:spacing w:after="3" w:line="259" w:lineRule="auto"/>
        <w:ind w:left="0" w:firstLine="0"/>
      </w:pPr>
    </w:p>
    <w:p w14:paraId="64EAD4D8" w14:textId="77777777" w:rsidR="00B507DC" w:rsidRDefault="00E706E6">
      <w:pPr>
        <w:spacing w:after="202" w:line="259" w:lineRule="auto"/>
        <w:ind w:left="0" w:right="4" w:firstLine="0"/>
        <w:jc w:val="center"/>
      </w:pPr>
      <w:r>
        <w:t xml:space="preserve"> </w:t>
      </w:r>
    </w:p>
    <w:p w14:paraId="7D5A9393" w14:textId="1B54FFCE" w:rsidR="00B507DC" w:rsidRPr="005E3888" w:rsidRDefault="00E706E6" w:rsidP="009B5E17">
      <w:pPr>
        <w:spacing w:after="28" w:line="259" w:lineRule="auto"/>
        <w:ind w:left="720" w:right="101" w:hanging="11"/>
        <w:rPr>
          <w:b/>
          <w:bCs/>
        </w:rPr>
      </w:pPr>
      <w:r w:rsidRPr="005E3888">
        <w:rPr>
          <w:b/>
          <w:bCs/>
        </w:rPr>
        <w:t>B-</w:t>
      </w:r>
      <w:r w:rsidRPr="005E3888">
        <w:rPr>
          <w:rFonts w:ascii="Arial" w:eastAsia="Arial" w:hAnsi="Arial" w:cs="Arial"/>
          <w:b/>
          <w:bCs/>
        </w:rPr>
        <w:t xml:space="preserve"> </w:t>
      </w:r>
      <w:r w:rsidRPr="005E3888">
        <w:rPr>
          <w:b/>
          <w:bCs/>
          <w:u w:val="single" w:color="000000"/>
        </w:rPr>
        <w:t>Différences entre Prix de Revient Standard et Prix de Revient par</w:t>
      </w:r>
      <w:r w:rsidRPr="005E3888">
        <w:rPr>
          <w:b/>
          <w:bCs/>
        </w:rPr>
        <w:t xml:space="preserve"> </w:t>
      </w:r>
      <w:r w:rsidRPr="005E3888">
        <w:rPr>
          <w:b/>
          <w:bCs/>
          <w:u w:val="single" w:color="000000"/>
        </w:rPr>
        <w:t xml:space="preserve">Activité </w:t>
      </w:r>
    </w:p>
    <w:p w14:paraId="228616E2" w14:textId="690492DE" w:rsidR="00B507DC" w:rsidRDefault="00E706E6" w:rsidP="009B5E17">
      <w:pPr>
        <w:spacing w:after="0"/>
        <w:ind w:left="0" w:right="68" w:hanging="11"/>
        <w:jc w:val="both"/>
      </w:pPr>
      <w:r>
        <w:rPr>
          <w:rFonts w:ascii="Segoe UI Symbol" w:eastAsia="Segoe UI Symbol" w:hAnsi="Segoe UI Symbol" w:cs="Segoe UI Symbol"/>
        </w:rPr>
        <w:t>•</w:t>
      </w:r>
      <w:r>
        <w:rPr>
          <w:rFonts w:ascii="Arial" w:eastAsia="Arial" w:hAnsi="Arial" w:cs="Arial"/>
        </w:rPr>
        <w:t xml:space="preserve"> </w:t>
      </w:r>
      <w:r>
        <w:t xml:space="preserve">Raisonnement sur la différenciation : </w:t>
      </w:r>
    </w:p>
    <w:p w14:paraId="6821920C" w14:textId="19082BE8" w:rsidR="00B507DC" w:rsidRDefault="00E706E6" w:rsidP="009B5E17">
      <w:pPr>
        <w:numPr>
          <w:ilvl w:val="0"/>
          <w:numId w:val="4"/>
        </w:numPr>
        <w:spacing w:after="0"/>
        <w:ind w:left="0" w:right="68" w:hanging="11"/>
        <w:jc w:val="both"/>
      </w:pPr>
      <w:r>
        <w:lastRenderedPageBreak/>
        <w:t xml:space="preserve">Le Prix de Revient Standard : Le prix de revient standard est une estimation globale, établie à partir d’analyses techniques et prévisionnelles, qui s’applique à l’ensemble de l’organisation. C’est une variété de coût prévisionnel établis au moyen d'une analyse technique. </w:t>
      </w:r>
    </w:p>
    <w:p w14:paraId="19049A1A" w14:textId="4DF282DA" w:rsidR="00B507DC" w:rsidRDefault="00E706E6" w:rsidP="009B5E17">
      <w:pPr>
        <w:ind w:left="0" w:right="68" w:hanging="11"/>
        <w:jc w:val="both"/>
      </w:pPr>
      <w:r>
        <w:t xml:space="preserve">Il est Idéal pour le contrôle budgétaire, car il permet de comparer les coûts réels aux coûts standards et d’identifier les écarts. </w:t>
      </w:r>
    </w:p>
    <w:p w14:paraId="609898B5" w14:textId="77777777" w:rsidR="00B507DC" w:rsidRDefault="00E706E6" w:rsidP="009B5E17">
      <w:pPr>
        <w:numPr>
          <w:ilvl w:val="0"/>
          <w:numId w:val="4"/>
        </w:numPr>
        <w:ind w:left="0" w:right="68" w:hanging="11"/>
        <w:jc w:val="both"/>
      </w:pPr>
      <w:r>
        <w:t xml:space="preserve">Prix de Revient par Activité : adopte une approche plus granulaire en affectant les coûts aux différentes activités en fonction des ressources réellement consommées (par exemple, salaires, charges sociales, etc.). </w:t>
      </w:r>
    </w:p>
    <w:p w14:paraId="5927399C" w14:textId="77777777" w:rsidR="00B507DC" w:rsidRDefault="00E706E6" w:rsidP="009B5E17">
      <w:pPr>
        <w:ind w:left="-5" w:right="68" w:hanging="11"/>
        <w:jc w:val="both"/>
      </w:pPr>
      <w:r>
        <w:t xml:space="preserve">C’est aussi le coût total payé par une organisation publique pour rémunérer le facteur de production du travail. Autrement dit, c'est le coût total supporté par l'employeur pour l'emploi de main-d'œuvre.  </w:t>
      </w:r>
    </w:p>
    <w:p w14:paraId="50D9F80D" w14:textId="77777777" w:rsidR="00B507DC" w:rsidRDefault="00E706E6" w:rsidP="009B5E17">
      <w:pPr>
        <w:ind w:left="-5" w:right="68" w:hanging="11"/>
        <w:jc w:val="both"/>
      </w:pPr>
      <w:proofErr w:type="gramStart"/>
      <w:r>
        <w:rPr>
          <w:b/>
        </w:rPr>
        <w:t>Nb:</w:t>
      </w:r>
      <w:proofErr w:type="gramEnd"/>
      <w:r>
        <w:rPr>
          <w:b/>
        </w:rPr>
        <w:t xml:space="preserve"> </w:t>
      </w:r>
      <w:r>
        <w:t xml:space="preserve">Le coût complet est la somme des coûts pris en charge directement par un service et les charges y afférentes. </w:t>
      </w:r>
    </w:p>
    <w:p w14:paraId="13DD7945" w14:textId="2CE56B02" w:rsidR="00B507DC" w:rsidRDefault="00E706E6" w:rsidP="009B5E17">
      <w:pPr>
        <w:ind w:left="-5" w:right="68" w:hanging="11"/>
        <w:jc w:val="both"/>
      </w:pPr>
      <w:r>
        <w:t xml:space="preserve"> Il fournit une analyse plus précise et adaptée aux réalités opérationnelles, permettant d’identifier les activités les plus coûteuses ou les inefficacités spécifiques. </w:t>
      </w:r>
    </w:p>
    <w:p w14:paraId="3281F846" w14:textId="77777777" w:rsidR="00B507DC" w:rsidRDefault="00E706E6" w:rsidP="009B5E17">
      <w:pPr>
        <w:ind w:left="-5" w:right="68" w:hanging="11"/>
        <w:jc w:val="both"/>
      </w:pPr>
      <w:r>
        <w:t xml:space="preserve">Enjeux stratégiques : </w:t>
      </w:r>
    </w:p>
    <w:p w14:paraId="3F1E75B7" w14:textId="77777777" w:rsidR="00B507DC" w:rsidRDefault="00E706E6" w:rsidP="009B5E17">
      <w:pPr>
        <w:spacing w:after="205"/>
        <w:ind w:left="-5" w:right="68" w:hanging="11"/>
        <w:jc w:val="both"/>
      </w:pPr>
      <w:r>
        <w:t xml:space="preserve">La distinction entre ces deux approches aide les gestionnaires à comprendre où se situent les écarts de coûts et à adapter les politiques tarifaires en conséquence.  </w:t>
      </w:r>
    </w:p>
    <w:p w14:paraId="0E96B09F" w14:textId="77777777" w:rsidR="00B507DC" w:rsidRDefault="00E706E6" w:rsidP="00812058">
      <w:pPr>
        <w:numPr>
          <w:ilvl w:val="0"/>
          <w:numId w:val="5"/>
        </w:numPr>
        <w:spacing w:after="201"/>
        <w:ind w:left="0" w:right="68" w:hanging="11"/>
        <w:jc w:val="both"/>
      </w:pPr>
      <w:r>
        <w:t xml:space="preserve">Le prix de revient permet une évaluation de l'ensemble des dépenses à effectuer pour vendre un produit de l'entreprise en prenant l'ensemble des dépenses utiles. C'est par conséquent l'outil le plus basique de l'analyse des coûts et il est essentiel pour le marketing qui doit savoir à quel prix minimum l'entreprise peut vendre.  </w:t>
      </w:r>
    </w:p>
    <w:p w14:paraId="46026DA6" w14:textId="77777777" w:rsidR="00B507DC" w:rsidRDefault="00E706E6" w:rsidP="00812058">
      <w:pPr>
        <w:numPr>
          <w:ilvl w:val="0"/>
          <w:numId w:val="5"/>
        </w:numPr>
        <w:spacing w:after="202"/>
        <w:ind w:left="0" w:right="68" w:hanging="11"/>
        <w:jc w:val="both"/>
      </w:pPr>
      <w:r>
        <w:t xml:space="preserve">La comparaison du coût de production et du coût de revient permet d'évaluer la valeur de l'action du marketing dans le succès de la vente du produit.  </w:t>
      </w:r>
    </w:p>
    <w:p w14:paraId="241A42C4" w14:textId="02E1B4A5" w:rsidR="00B507DC" w:rsidRDefault="00E706E6" w:rsidP="00812058">
      <w:pPr>
        <w:numPr>
          <w:ilvl w:val="0"/>
          <w:numId w:val="5"/>
        </w:numPr>
        <w:ind w:left="0" w:right="68" w:hanging="11"/>
        <w:jc w:val="both"/>
      </w:pPr>
      <w:r>
        <w:t xml:space="preserve">Les coûts standards permettent de démêler, dans l'écart éventuel entre le coût prévu et le coût effectif, ce qui provient d'une variation de prix (d'origine externe à l'entreprise) et ce qui provient d'une variation de rendement d'origine interne à l'entreprise) </w:t>
      </w:r>
    </w:p>
    <w:p w14:paraId="5289B074" w14:textId="68897DC7" w:rsidR="00B507DC" w:rsidRDefault="00E706E6" w:rsidP="009B5E17">
      <w:pPr>
        <w:ind w:left="-5" w:right="61" w:hanging="11"/>
        <w:jc w:val="both"/>
      </w:pPr>
      <w:r>
        <w:lastRenderedPageBreak/>
        <w:t xml:space="preserve"> </w:t>
      </w:r>
      <w:r>
        <w:tab/>
        <w:t xml:space="preserve">• </w:t>
      </w:r>
      <w:r>
        <w:tab/>
        <w:t xml:space="preserve">Prise en compte du contexte : Dans le secteur public, où l’objectif n’est pas le profit mais la couverture des coûts, cette différenciation permet de moduler les tarifs de manière à concilier efficacité financière et égalité entre les usagers. </w:t>
      </w:r>
    </w:p>
    <w:p w14:paraId="07432970" w14:textId="77777777" w:rsidR="00B507DC" w:rsidRPr="005E3888" w:rsidRDefault="00E706E6" w:rsidP="009B5E17">
      <w:pPr>
        <w:tabs>
          <w:tab w:val="center" w:pos="475"/>
          <w:tab w:val="center" w:pos="4431"/>
        </w:tabs>
        <w:spacing w:after="161" w:line="259" w:lineRule="auto"/>
        <w:ind w:left="0" w:hanging="11"/>
        <w:jc w:val="both"/>
        <w:rPr>
          <w:b/>
          <w:bCs/>
        </w:rPr>
      </w:pPr>
      <w:r>
        <w:rPr>
          <w:sz w:val="22"/>
        </w:rPr>
        <w:tab/>
      </w:r>
      <w:r w:rsidRPr="005E3888">
        <w:rPr>
          <w:b/>
          <w:bCs/>
        </w:rPr>
        <w:t>II-</w:t>
      </w:r>
      <w:r w:rsidRPr="005E3888">
        <w:rPr>
          <w:rFonts w:ascii="Arial" w:eastAsia="Arial" w:hAnsi="Arial" w:cs="Arial"/>
          <w:b/>
          <w:bCs/>
        </w:rPr>
        <w:t xml:space="preserve"> </w:t>
      </w:r>
      <w:r w:rsidRPr="005E3888">
        <w:rPr>
          <w:rFonts w:ascii="Arial" w:eastAsia="Arial" w:hAnsi="Arial" w:cs="Arial"/>
          <w:b/>
          <w:bCs/>
        </w:rPr>
        <w:tab/>
      </w:r>
      <w:r w:rsidRPr="005E3888">
        <w:rPr>
          <w:b/>
          <w:bCs/>
          <w:u w:val="single" w:color="000000"/>
        </w:rPr>
        <w:t>Différentes bases de financements des Services Publiques :</w:t>
      </w:r>
      <w:r w:rsidRPr="005E3888">
        <w:rPr>
          <w:b/>
          <w:bCs/>
        </w:rPr>
        <w:t xml:space="preserve">  </w:t>
      </w:r>
    </w:p>
    <w:p w14:paraId="36995241" w14:textId="23517DD9" w:rsidR="00B507DC" w:rsidRDefault="00E623B3" w:rsidP="009B5E17">
      <w:pPr>
        <w:ind w:left="-5" w:right="68" w:hanging="11"/>
        <w:jc w:val="both"/>
      </w:pPr>
      <w:r>
        <w:t>Dans cette partie nous allons</w:t>
      </w:r>
      <w:r w:rsidR="00E706E6">
        <w:t xml:space="preserve"> expl</w:t>
      </w:r>
      <w:r>
        <w:t>iquer</w:t>
      </w:r>
      <w:r w:rsidR="00E706E6">
        <w:t xml:space="preserve"> en (A)- les recettes fiscales, et en (B)- les recettes non fiscales. </w:t>
      </w:r>
      <w:r w:rsidR="005823B6">
        <w:t xml:space="preserve"> </w:t>
      </w:r>
    </w:p>
    <w:p w14:paraId="32F553AB" w14:textId="77777777" w:rsidR="00B507DC" w:rsidRDefault="00E706E6" w:rsidP="009B5E17">
      <w:pPr>
        <w:ind w:left="-5" w:right="61" w:hanging="11"/>
        <w:jc w:val="both"/>
      </w:pPr>
      <w:r>
        <w:t xml:space="preserve">Les services publics regroupent l’ensemble des activités visant la satisfaction de l’intérêt général. Ils sont financés par les ressources publiques (fiscales ou non fiscales). </w:t>
      </w:r>
    </w:p>
    <w:p w14:paraId="0897889D" w14:textId="77777777" w:rsidR="00B507DC" w:rsidRDefault="00E706E6" w:rsidP="009B5E17">
      <w:pPr>
        <w:ind w:left="-5" w:right="68" w:hanging="11"/>
        <w:jc w:val="both"/>
      </w:pPr>
      <w:r>
        <w:rPr>
          <w:b/>
        </w:rPr>
        <w:t>Article 18 de la Loi 2012/12 du 6 Août 2012 portant LORF</w:t>
      </w:r>
      <w:r>
        <w:t xml:space="preserve">) précise les modalités de répartition et de prévision des ressources. </w:t>
      </w:r>
    </w:p>
    <w:p w14:paraId="38609912" w14:textId="77777777" w:rsidR="00B507DC" w:rsidRDefault="00E706E6" w:rsidP="009B5E17">
      <w:pPr>
        <w:ind w:left="-5" w:right="68" w:hanging="11"/>
        <w:jc w:val="both"/>
      </w:pPr>
      <w:r>
        <w:t xml:space="preserve">Les recettes budgétaires de l’Etat sont constituées des : - recettes fiscales comprenant les impôts, les taxes, droits et autres prélèvements obligatoires hormis les cotisations de sécurité sociale ;- dons, legs et fonds de concours, y compris ceux provenant des bailleurs de fonds internationaux ;- autres recettes comprenant les revenus de la propriété, les ventes de biens et services, les amendes, pénalités et confiscations, les transferts volontaires autres que les dons, et recettes diverses. Ces recettes sont décomposées, en fonction de leur nature et éventuellement de leur source, en articles, subdivisés en paragraphes, selon une nomenclature s’inspirant des standards internationaux et régionaux et arrêtée par le Ministre chargé des finances. </w:t>
      </w:r>
    </w:p>
    <w:p w14:paraId="6CDD1D8E" w14:textId="77777777" w:rsidR="00B507DC" w:rsidRDefault="00E706E6" w:rsidP="009B5E17">
      <w:pPr>
        <w:ind w:left="-5" w:right="68" w:hanging="11"/>
        <w:jc w:val="both"/>
      </w:pPr>
      <w:r>
        <w:t xml:space="preserve">Sur ce pour parler de ces recettes nous essayerons de donner la définition de l’impôt en quelque ligne, expliquer son rôle et faire sa classification pour bien appréhender cette partie. </w:t>
      </w:r>
    </w:p>
    <w:p w14:paraId="79C3BE81" w14:textId="77777777" w:rsidR="00B507DC" w:rsidRDefault="00E706E6" w:rsidP="009B5E17">
      <w:pPr>
        <w:ind w:left="-5" w:right="68" w:hanging="11"/>
        <w:jc w:val="both"/>
      </w:pPr>
      <w:r>
        <w:t xml:space="preserve">On pourrait retenir la définition par laquelle sont parvenus MEHL et BELTRAM. </w:t>
      </w:r>
    </w:p>
    <w:p w14:paraId="657046AF" w14:textId="77777777" w:rsidR="00B507DC" w:rsidRDefault="00E706E6" w:rsidP="009B5E17">
      <w:pPr>
        <w:ind w:left="-5" w:right="61" w:hanging="11"/>
        <w:jc w:val="both"/>
      </w:pPr>
      <w:r>
        <w:t xml:space="preserve">Selon ces deux auteurs, « L’impôt est une prestation pécuniaire, requise par les personnes physiques et morales de droit public ou privé, d’après leurs facultés contributives, par voie d’autorité, à titre définitif et sans contrepartie déterminée, en vue de la couverture des charges publiques et à des fins d’intervention de la puissance publique ».  </w:t>
      </w:r>
    </w:p>
    <w:p w14:paraId="1F54901A" w14:textId="77777777" w:rsidR="00B507DC" w:rsidRDefault="00E706E6" w:rsidP="009B5E17">
      <w:pPr>
        <w:spacing w:after="131" w:line="259" w:lineRule="auto"/>
        <w:ind w:left="-5" w:hanging="11"/>
      </w:pPr>
      <w:r>
        <w:rPr>
          <w:u w:val="single" w:color="000000"/>
        </w:rPr>
        <w:t>Le rôle de l’impôt :</w:t>
      </w:r>
      <w:r>
        <w:t xml:space="preserve">  </w:t>
      </w:r>
    </w:p>
    <w:p w14:paraId="0A28F7D6" w14:textId="77777777" w:rsidR="00B507DC" w:rsidRDefault="00E706E6" w:rsidP="009B5E17">
      <w:pPr>
        <w:spacing w:after="0"/>
        <w:ind w:left="-5" w:right="61" w:hanging="11"/>
      </w:pPr>
      <w:r>
        <w:t xml:space="preserve">L’impôt à trois types de fonctions essentiels ; </w:t>
      </w:r>
    </w:p>
    <w:tbl>
      <w:tblPr>
        <w:tblStyle w:val="TableGrid"/>
        <w:tblW w:w="10199" w:type="dxa"/>
        <w:tblInd w:w="-584" w:type="dxa"/>
        <w:tblCellMar>
          <w:top w:w="58" w:type="dxa"/>
          <w:left w:w="104" w:type="dxa"/>
          <w:right w:w="60" w:type="dxa"/>
        </w:tblCellMar>
        <w:tblLook w:val="04A0" w:firstRow="1" w:lastRow="0" w:firstColumn="1" w:lastColumn="0" w:noHBand="0" w:noVBand="1"/>
      </w:tblPr>
      <w:tblGrid>
        <w:gridCol w:w="3953"/>
        <w:gridCol w:w="3241"/>
        <w:gridCol w:w="3005"/>
      </w:tblGrid>
      <w:tr w:rsidR="00B507DC" w14:paraId="3BF8D5CD" w14:textId="77777777">
        <w:trPr>
          <w:trHeight w:val="352"/>
        </w:trPr>
        <w:tc>
          <w:tcPr>
            <w:tcW w:w="3953" w:type="dxa"/>
            <w:tcBorders>
              <w:top w:val="single" w:sz="3" w:space="0" w:color="000000"/>
              <w:left w:val="single" w:sz="3" w:space="0" w:color="000000"/>
              <w:bottom w:val="single" w:sz="3" w:space="0" w:color="000000"/>
              <w:right w:val="single" w:sz="3" w:space="0" w:color="000000"/>
            </w:tcBorders>
          </w:tcPr>
          <w:p w14:paraId="60B87DAB" w14:textId="77777777" w:rsidR="00B507DC" w:rsidRDefault="00E706E6">
            <w:pPr>
              <w:spacing w:line="259" w:lineRule="auto"/>
              <w:ind w:left="4" w:firstLine="0"/>
            </w:pPr>
            <w:r>
              <w:rPr>
                <w:b/>
              </w:rPr>
              <w:lastRenderedPageBreak/>
              <w:t xml:space="preserve">La fonction financière </w:t>
            </w:r>
          </w:p>
        </w:tc>
        <w:tc>
          <w:tcPr>
            <w:tcW w:w="3241" w:type="dxa"/>
            <w:tcBorders>
              <w:top w:val="single" w:sz="3" w:space="0" w:color="000000"/>
              <w:left w:val="single" w:sz="3" w:space="0" w:color="000000"/>
              <w:bottom w:val="single" w:sz="3" w:space="0" w:color="000000"/>
              <w:right w:val="single" w:sz="3" w:space="0" w:color="000000"/>
            </w:tcBorders>
          </w:tcPr>
          <w:p w14:paraId="20B9FA6A" w14:textId="77777777" w:rsidR="00B507DC" w:rsidRDefault="00E706E6">
            <w:pPr>
              <w:spacing w:line="259" w:lineRule="auto"/>
              <w:ind w:left="0" w:firstLine="0"/>
            </w:pPr>
            <w:r>
              <w:rPr>
                <w:b/>
              </w:rPr>
              <w:t xml:space="preserve">La fonction économique  </w:t>
            </w:r>
          </w:p>
        </w:tc>
        <w:tc>
          <w:tcPr>
            <w:tcW w:w="3005" w:type="dxa"/>
            <w:tcBorders>
              <w:top w:val="single" w:sz="3" w:space="0" w:color="000000"/>
              <w:left w:val="single" w:sz="3" w:space="0" w:color="000000"/>
              <w:bottom w:val="single" w:sz="3" w:space="0" w:color="000000"/>
              <w:right w:val="single" w:sz="3" w:space="0" w:color="000000"/>
            </w:tcBorders>
          </w:tcPr>
          <w:p w14:paraId="19C88090" w14:textId="77777777" w:rsidR="00B507DC" w:rsidRDefault="00E706E6">
            <w:pPr>
              <w:spacing w:line="259" w:lineRule="auto"/>
              <w:ind w:left="0" w:firstLine="0"/>
            </w:pPr>
            <w:r>
              <w:rPr>
                <w:b/>
              </w:rPr>
              <w:t xml:space="preserve">La fonction sociale </w:t>
            </w:r>
          </w:p>
        </w:tc>
      </w:tr>
      <w:tr w:rsidR="00B507DC" w14:paraId="0D642285" w14:textId="77777777">
        <w:trPr>
          <w:trHeight w:val="3084"/>
        </w:trPr>
        <w:tc>
          <w:tcPr>
            <w:tcW w:w="3953" w:type="dxa"/>
            <w:tcBorders>
              <w:top w:val="single" w:sz="3" w:space="0" w:color="000000"/>
              <w:left w:val="single" w:sz="3" w:space="0" w:color="000000"/>
              <w:bottom w:val="single" w:sz="3" w:space="0" w:color="000000"/>
              <w:right w:val="single" w:sz="3" w:space="0" w:color="000000"/>
            </w:tcBorders>
          </w:tcPr>
          <w:p w14:paraId="542EE9DF" w14:textId="77777777" w:rsidR="00B507DC" w:rsidRDefault="00E706E6">
            <w:pPr>
              <w:spacing w:line="241" w:lineRule="auto"/>
              <w:ind w:left="4" w:firstLine="0"/>
            </w:pPr>
            <w:r>
              <w:t xml:space="preserve">Ce rôle explique que l’impôt doit servir à la mobilisation des ressources financières nécessaires à la couverture des dépenses de l’Etat et des collectivités.  </w:t>
            </w:r>
          </w:p>
          <w:p w14:paraId="26CEE608" w14:textId="77777777" w:rsidR="00B507DC" w:rsidRDefault="00E706E6">
            <w:pPr>
              <w:spacing w:line="259" w:lineRule="auto"/>
              <w:ind w:left="4" w:firstLine="0"/>
            </w:pPr>
            <w:r>
              <w:t xml:space="preserve">EX : frais de fonctionnement des services publiques ; salaires des fonctionnaires. </w:t>
            </w:r>
          </w:p>
        </w:tc>
        <w:tc>
          <w:tcPr>
            <w:tcW w:w="3241" w:type="dxa"/>
            <w:tcBorders>
              <w:top w:val="single" w:sz="3" w:space="0" w:color="000000"/>
              <w:left w:val="single" w:sz="3" w:space="0" w:color="000000"/>
              <w:bottom w:val="single" w:sz="3" w:space="0" w:color="000000"/>
              <w:right w:val="single" w:sz="3" w:space="0" w:color="000000"/>
            </w:tcBorders>
          </w:tcPr>
          <w:p w14:paraId="6A5B8876" w14:textId="77777777" w:rsidR="00B507DC" w:rsidRDefault="00E706E6">
            <w:pPr>
              <w:spacing w:line="259" w:lineRule="auto"/>
              <w:ind w:left="0" w:firstLine="0"/>
            </w:pPr>
            <w:r>
              <w:t xml:space="preserve">Ce rôle assure une fonction de stabilité ou de régulation qui sert à lutter contre le déséquilibre économique.  </w:t>
            </w:r>
          </w:p>
        </w:tc>
        <w:tc>
          <w:tcPr>
            <w:tcW w:w="3005" w:type="dxa"/>
            <w:tcBorders>
              <w:top w:val="single" w:sz="3" w:space="0" w:color="000000"/>
              <w:left w:val="single" w:sz="3" w:space="0" w:color="000000"/>
              <w:bottom w:val="single" w:sz="3" w:space="0" w:color="000000"/>
              <w:right w:val="single" w:sz="3" w:space="0" w:color="000000"/>
            </w:tcBorders>
          </w:tcPr>
          <w:p w14:paraId="548F029D" w14:textId="77777777" w:rsidR="00B507DC" w:rsidRDefault="00E706E6">
            <w:pPr>
              <w:spacing w:line="259" w:lineRule="auto"/>
              <w:ind w:left="0" w:firstLine="0"/>
            </w:pPr>
            <w:r>
              <w:t xml:space="preserve">Ce rôle de l’impôt tient compte de la capacité contributive de chaque citoyen. </w:t>
            </w:r>
          </w:p>
        </w:tc>
      </w:tr>
    </w:tbl>
    <w:p w14:paraId="1E733799" w14:textId="33081700" w:rsidR="00B507DC" w:rsidRPr="005E3888" w:rsidRDefault="00B507DC">
      <w:pPr>
        <w:spacing w:after="159" w:line="259" w:lineRule="auto"/>
        <w:ind w:left="0" w:firstLine="0"/>
        <w:rPr>
          <w:sz w:val="6"/>
          <w:szCs w:val="2"/>
        </w:rPr>
      </w:pPr>
    </w:p>
    <w:p w14:paraId="4528B6A8" w14:textId="77777777" w:rsidR="00B507DC" w:rsidRPr="005E3888" w:rsidRDefault="00E706E6">
      <w:pPr>
        <w:spacing w:after="161" w:line="259" w:lineRule="auto"/>
        <w:ind w:left="-5" w:right="101"/>
        <w:rPr>
          <w:b/>
          <w:bCs/>
        </w:rPr>
      </w:pPr>
      <w:r w:rsidRPr="005E3888">
        <w:rPr>
          <w:b/>
          <w:bCs/>
          <w:u w:val="single" w:color="000000"/>
        </w:rPr>
        <w:t>Classification des impôts et taxes :</w:t>
      </w:r>
      <w:r w:rsidRPr="005E3888">
        <w:rPr>
          <w:b/>
          <w:bCs/>
        </w:rPr>
        <w:t xml:space="preserve"> </w:t>
      </w:r>
    </w:p>
    <w:p w14:paraId="45F42F36" w14:textId="77777777" w:rsidR="00B507DC" w:rsidRDefault="00E706E6">
      <w:pPr>
        <w:spacing w:after="0"/>
        <w:ind w:left="-5" w:right="68"/>
      </w:pPr>
      <w:r>
        <w:t xml:space="preserve">Les impôts peuvent être classés de multiples façons :  </w:t>
      </w:r>
    </w:p>
    <w:tbl>
      <w:tblPr>
        <w:tblStyle w:val="TableGrid"/>
        <w:tblW w:w="10632" w:type="dxa"/>
        <w:tblInd w:w="-713" w:type="dxa"/>
        <w:tblCellMar>
          <w:top w:w="58" w:type="dxa"/>
          <w:left w:w="108" w:type="dxa"/>
        </w:tblCellMar>
        <w:tblLook w:val="04A0" w:firstRow="1" w:lastRow="0" w:firstColumn="1" w:lastColumn="0" w:noHBand="0" w:noVBand="1"/>
      </w:tblPr>
      <w:tblGrid>
        <w:gridCol w:w="3842"/>
        <w:gridCol w:w="3717"/>
        <w:gridCol w:w="3073"/>
      </w:tblGrid>
      <w:tr w:rsidR="00B507DC" w14:paraId="7D903AAD" w14:textId="77777777" w:rsidTr="009B5E17">
        <w:trPr>
          <w:trHeight w:val="352"/>
        </w:trPr>
        <w:tc>
          <w:tcPr>
            <w:tcW w:w="3842" w:type="dxa"/>
            <w:tcBorders>
              <w:top w:val="single" w:sz="3" w:space="0" w:color="000000"/>
              <w:left w:val="single" w:sz="3" w:space="0" w:color="000000"/>
              <w:bottom w:val="single" w:sz="3" w:space="0" w:color="000000"/>
              <w:right w:val="single" w:sz="3" w:space="0" w:color="000000"/>
            </w:tcBorders>
          </w:tcPr>
          <w:p w14:paraId="43C3FED6" w14:textId="77777777" w:rsidR="00B507DC" w:rsidRDefault="00E706E6">
            <w:pPr>
              <w:spacing w:line="259" w:lineRule="auto"/>
              <w:ind w:left="0" w:firstLine="0"/>
            </w:pPr>
            <w:r>
              <w:rPr>
                <w:b/>
              </w:rPr>
              <w:t xml:space="preserve">La classification Administrative </w:t>
            </w:r>
          </w:p>
        </w:tc>
        <w:tc>
          <w:tcPr>
            <w:tcW w:w="3717" w:type="dxa"/>
            <w:tcBorders>
              <w:top w:val="single" w:sz="3" w:space="0" w:color="000000"/>
              <w:left w:val="single" w:sz="3" w:space="0" w:color="000000"/>
              <w:bottom w:val="single" w:sz="3" w:space="0" w:color="000000"/>
              <w:right w:val="single" w:sz="3" w:space="0" w:color="000000"/>
            </w:tcBorders>
          </w:tcPr>
          <w:p w14:paraId="511437E0" w14:textId="77777777" w:rsidR="00B507DC" w:rsidRDefault="00E706E6">
            <w:pPr>
              <w:spacing w:line="259" w:lineRule="auto"/>
              <w:ind w:left="0" w:firstLine="0"/>
            </w:pPr>
            <w:r>
              <w:rPr>
                <w:b/>
              </w:rPr>
              <w:t xml:space="preserve">La classification Economique </w:t>
            </w:r>
          </w:p>
        </w:tc>
        <w:tc>
          <w:tcPr>
            <w:tcW w:w="3073" w:type="dxa"/>
            <w:tcBorders>
              <w:top w:val="single" w:sz="3" w:space="0" w:color="000000"/>
              <w:left w:val="single" w:sz="3" w:space="0" w:color="000000"/>
              <w:bottom w:val="single" w:sz="3" w:space="0" w:color="000000"/>
              <w:right w:val="single" w:sz="3" w:space="0" w:color="000000"/>
            </w:tcBorders>
          </w:tcPr>
          <w:p w14:paraId="0FB067F1" w14:textId="77777777" w:rsidR="00B507DC" w:rsidRDefault="00E706E6">
            <w:pPr>
              <w:spacing w:line="259" w:lineRule="auto"/>
              <w:ind w:left="0" w:firstLine="0"/>
            </w:pPr>
            <w:r>
              <w:rPr>
                <w:b/>
              </w:rPr>
              <w:t xml:space="preserve">La classification Juridique </w:t>
            </w:r>
          </w:p>
        </w:tc>
      </w:tr>
      <w:tr w:rsidR="00B507DC" w14:paraId="3BDC1226" w14:textId="77777777" w:rsidTr="009B5E17">
        <w:trPr>
          <w:trHeight w:val="3085"/>
        </w:trPr>
        <w:tc>
          <w:tcPr>
            <w:tcW w:w="3842" w:type="dxa"/>
            <w:tcBorders>
              <w:top w:val="single" w:sz="3" w:space="0" w:color="000000"/>
              <w:left w:val="single" w:sz="3" w:space="0" w:color="000000"/>
              <w:bottom w:val="single" w:sz="3" w:space="0" w:color="000000"/>
              <w:right w:val="single" w:sz="3" w:space="0" w:color="000000"/>
            </w:tcBorders>
          </w:tcPr>
          <w:p w14:paraId="2127EC8B" w14:textId="77777777" w:rsidR="00B507DC" w:rsidRDefault="00E706E6">
            <w:pPr>
              <w:spacing w:line="241" w:lineRule="auto"/>
              <w:ind w:left="0" w:firstLine="0"/>
            </w:pPr>
            <w:r>
              <w:t xml:space="preserve">Cette classification se fonde sur le fait de savoir si un impôt alimente le budget de l’Etat ou des collectivités. </w:t>
            </w:r>
          </w:p>
          <w:p w14:paraId="13AA6757" w14:textId="77777777" w:rsidR="00B507DC" w:rsidRDefault="00E706E6">
            <w:pPr>
              <w:spacing w:line="259" w:lineRule="auto"/>
              <w:ind w:left="0" w:firstLine="0"/>
            </w:pPr>
            <w:r>
              <w:t xml:space="preserve">EX : impôts locaux ; impôts d’Etat.  </w:t>
            </w:r>
          </w:p>
        </w:tc>
        <w:tc>
          <w:tcPr>
            <w:tcW w:w="3717" w:type="dxa"/>
            <w:tcBorders>
              <w:top w:val="single" w:sz="3" w:space="0" w:color="000000"/>
              <w:left w:val="single" w:sz="3" w:space="0" w:color="000000"/>
              <w:bottom w:val="single" w:sz="3" w:space="0" w:color="000000"/>
              <w:right w:val="single" w:sz="3" w:space="0" w:color="000000"/>
            </w:tcBorders>
          </w:tcPr>
          <w:p w14:paraId="0B4B3C17" w14:textId="77777777" w:rsidR="00B507DC" w:rsidRDefault="00E706E6">
            <w:pPr>
              <w:spacing w:line="259" w:lineRule="auto"/>
              <w:ind w:left="0" w:right="91" w:firstLine="0"/>
            </w:pPr>
            <w:r>
              <w:t xml:space="preserve">Cette classification est basée sur l’origine des richesses. Permet de l’élément sur lequel la contribution est assise, ce qui revient à préciser la matière imposable.   </w:t>
            </w:r>
          </w:p>
        </w:tc>
        <w:tc>
          <w:tcPr>
            <w:tcW w:w="3073" w:type="dxa"/>
            <w:tcBorders>
              <w:top w:val="single" w:sz="3" w:space="0" w:color="000000"/>
              <w:left w:val="single" w:sz="3" w:space="0" w:color="000000"/>
              <w:bottom w:val="single" w:sz="3" w:space="0" w:color="000000"/>
              <w:right w:val="single" w:sz="3" w:space="0" w:color="000000"/>
            </w:tcBorders>
          </w:tcPr>
          <w:p w14:paraId="604CFCC5" w14:textId="77777777" w:rsidR="00B507DC" w:rsidRDefault="00E706E6">
            <w:pPr>
              <w:spacing w:line="241" w:lineRule="auto"/>
              <w:ind w:left="0" w:firstLine="0"/>
            </w:pPr>
            <w:r>
              <w:t xml:space="preserve">Cette classification nous permet de différentier les impôts directs aux impôts indirects. </w:t>
            </w:r>
          </w:p>
          <w:p w14:paraId="0489F72C" w14:textId="77777777" w:rsidR="00B507DC" w:rsidRDefault="00E706E6">
            <w:pPr>
              <w:spacing w:line="259" w:lineRule="auto"/>
              <w:ind w:left="0" w:right="308" w:firstLine="0"/>
            </w:pPr>
            <w:r>
              <w:t xml:space="preserve">Ex : Impôt direct (impôt sur le revenu ; impôt sur le bénéfice industriel et commercial ; etc… Impôt indirect (tva etc…) </w:t>
            </w:r>
          </w:p>
        </w:tc>
      </w:tr>
    </w:tbl>
    <w:p w14:paraId="04B11A5E" w14:textId="1D58BFF4" w:rsidR="00B507DC" w:rsidRPr="005E3888" w:rsidRDefault="00B507DC">
      <w:pPr>
        <w:spacing w:after="201" w:line="259" w:lineRule="auto"/>
        <w:ind w:left="0" w:firstLine="0"/>
        <w:rPr>
          <w:sz w:val="4"/>
          <w:szCs w:val="2"/>
        </w:rPr>
      </w:pPr>
    </w:p>
    <w:p w14:paraId="44486B89" w14:textId="5E6F282B" w:rsidR="00B507DC" w:rsidRPr="005E3888" w:rsidRDefault="00E706E6" w:rsidP="005E3888">
      <w:pPr>
        <w:spacing w:after="161" w:line="259" w:lineRule="auto"/>
        <w:ind w:left="370" w:right="101"/>
        <w:rPr>
          <w:b/>
          <w:bCs/>
        </w:rPr>
      </w:pPr>
      <w:r w:rsidRPr="005E3888">
        <w:rPr>
          <w:b/>
          <w:bCs/>
        </w:rPr>
        <w:t>A-</w:t>
      </w:r>
      <w:r w:rsidRPr="005E3888">
        <w:rPr>
          <w:rFonts w:ascii="Arial" w:eastAsia="Arial" w:hAnsi="Arial" w:cs="Arial"/>
          <w:b/>
          <w:bCs/>
        </w:rPr>
        <w:t xml:space="preserve"> </w:t>
      </w:r>
      <w:r w:rsidRPr="005E3888">
        <w:rPr>
          <w:b/>
          <w:bCs/>
          <w:u w:val="single" w:color="000000"/>
        </w:rPr>
        <w:t>Les Recettes Fiscales :</w:t>
      </w:r>
      <w:r w:rsidRPr="005E3888">
        <w:rPr>
          <w:b/>
          <w:bCs/>
        </w:rPr>
        <w:t xml:space="preserve"> </w:t>
      </w:r>
    </w:p>
    <w:p w14:paraId="29524C99" w14:textId="77777777" w:rsidR="00B507DC" w:rsidRDefault="00E706E6">
      <w:pPr>
        <w:spacing w:after="131" w:line="259" w:lineRule="auto"/>
        <w:ind w:left="370"/>
      </w:pPr>
      <w:r>
        <w:rPr>
          <w:rFonts w:ascii="Segoe UI Symbol" w:eastAsia="Segoe UI Symbol" w:hAnsi="Segoe UI Symbol" w:cs="Segoe UI Symbol"/>
        </w:rPr>
        <w:t>•</w:t>
      </w:r>
      <w:r>
        <w:rPr>
          <w:rFonts w:ascii="Arial" w:eastAsia="Arial" w:hAnsi="Arial" w:cs="Arial"/>
        </w:rPr>
        <w:t xml:space="preserve"> </w:t>
      </w:r>
      <w:r>
        <w:rPr>
          <w:u w:val="single" w:color="000000"/>
        </w:rPr>
        <w:t>L’impôt direct :</w:t>
      </w:r>
      <w:r>
        <w:t xml:space="preserve"> </w:t>
      </w:r>
    </w:p>
    <w:p w14:paraId="55515DA7" w14:textId="77777777" w:rsidR="00B507DC" w:rsidRDefault="00E706E6" w:rsidP="009B5E17">
      <w:pPr>
        <w:ind w:left="-284" w:right="61"/>
        <w:jc w:val="both"/>
      </w:pPr>
      <w:r>
        <w:t xml:space="preserve">A cet effet nous allons énumérez quelques impôts directs à titre d’exemple. </w:t>
      </w:r>
    </w:p>
    <w:p w14:paraId="2D82A1DE" w14:textId="77777777" w:rsidR="00B507DC" w:rsidRDefault="00E706E6" w:rsidP="009B5E17">
      <w:pPr>
        <w:spacing w:after="202"/>
        <w:ind w:left="-284" w:right="68"/>
        <w:jc w:val="both"/>
      </w:pPr>
      <w:r>
        <w:t xml:space="preserve">Il faut noter que les impôts directs sont établis directement à la charge de celui qui en supporte le prélèvement. On retrouve l’Impôt </w:t>
      </w:r>
    </w:p>
    <w:p w14:paraId="07887F18" w14:textId="77777777" w:rsidR="00B507DC" w:rsidRDefault="00E706E6" w:rsidP="009B5E17">
      <w:pPr>
        <w:ind w:left="-284" w:right="68" w:hanging="360"/>
        <w:jc w:val="both"/>
      </w:pPr>
      <w:r>
        <w:t>-</w:t>
      </w:r>
      <w:r>
        <w:rPr>
          <w:rFonts w:ascii="Arial" w:eastAsia="Arial" w:hAnsi="Arial" w:cs="Arial"/>
        </w:rPr>
        <w:t xml:space="preserve"> </w:t>
      </w:r>
      <w:r>
        <w:t xml:space="preserve">IMPÔT SUR LES TRAITEMENTS ET SALAIRES, IMPÔT SUR LES PENSIONS ET RENTES VIAGÈRES. </w:t>
      </w:r>
    </w:p>
    <w:p w14:paraId="1A806D19" w14:textId="77777777" w:rsidR="00B507DC" w:rsidRDefault="00E706E6" w:rsidP="009B5E17">
      <w:pPr>
        <w:spacing w:after="161" w:line="259" w:lineRule="auto"/>
        <w:ind w:left="-5" w:right="101"/>
        <w:jc w:val="both"/>
      </w:pPr>
      <w:r>
        <w:rPr>
          <w:u w:val="single" w:color="000000"/>
        </w:rPr>
        <w:t>Les Taxes sur les Salaires :</w:t>
      </w:r>
      <w:r>
        <w:t xml:space="preserve">  </w:t>
      </w:r>
    </w:p>
    <w:p w14:paraId="4BE62675" w14:textId="77777777" w:rsidR="00B507DC" w:rsidRDefault="00E706E6" w:rsidP="009B5E17">
      <w:pPr>
        <w:spacing w:after="161" w:line="259" w:lineRule="auto"/>
        <w:ind w:left="-5" w:right="101"/>
        <w:jc w:val="both"/>
      </w:pPr>
      <w:r>
        <w:rPr>
          <w:u w:val="single" w:color="000000"/>
        </w:rPr>
        <w:t>La Retenue sur les Traitements et salaires (RTS)</w:t>
      </w:r>
      <w:r>
        <w:t xml:space="preserve"> :  </w:t>
      </w:r>
    </w:p>
    <w:p w14:paraId="575E3031" w14:textId="77777777" w:rsidR="00B507DC" w:rsidRDefault="00E706E6" w:rsidP="009B5E17">
      <w:pPr>
        <w:ind w:left="-5" w:right="68"/>
        <w:jc w:val="both"/>
      </w:pPr>
      <w:r>
        <w:lastRenderedPageBreak/>
        <w:t xml:space="preserve">(Art. 51 à 86 et suivants du CGI) </w:t>
      </w:r>
    </w:p>
    <w:p w14:paraId="536BB1E6" w14:textId="77777777" w:rsidR="00B507DC" w:rsidRDefault="00E706E6" w:rsidP="009B5E17">
      <w:pPr>
        <w:ind w:left="-5" w:right="68"/>
        <w:jc w:val="both"/>
      </w:pPr>
      <w:r>
        <w:t xml:space="preserve">Un impôt retenu à la source sur les traitements, salaires, pensions, rentes viagères et avantages en nature accordés aux salariés. </w:t>
      </w:r>
    </w:p>
    <w:p w14:paraId="6594A62F" w14:textId="77777777" w:rsidR="00B507DC" w:rsidRDefault="00E706E6" w:rsidP="009B5E17">
      <w:pPr>
        <w:ind w:left="-5" w:right="61"/>
        <w:jc w:val="both"/>
      </w:pPr>
      <w:r>
        <w:t xml:space="preserve">Il s’agit de l’imposition du revenu des travailleurs dépendant au titre de l’impôt sur le revenu des personnes physiques. </w:t>
      </w:r>
    </w:p>
    <w:p w14:paraId="12B84CEB" w14:textId="77777777" w:rsidR="00B507DC" w:rsidRDefault="00E706E6" w:rsidP="009B5E17">
      <w:pPr>
        <w:ind w:left="-5" w:right="68"/>
        <w:jc w:val="both"/>
      </w:pPr>
      <w:r>
        <w:t xml:space="preserve">Exonérations :  </w:t>
      </w:r>
    </w:p>
    <w:p w14:paraId="436B7FCE" w14:textId="77777777" w:rsidR="00B507DC" w:rsidRDefault="00E706E6" w:rsidP="009B5E17">
      <w:pPr>
        <w:ind w:left="-5" w:right="68"/>
        <w:jc w:val="both"/>
      </w:pPr>
      <w:r>
        <w:t xml:space="preserve">Allocations familiales et certaines pensions ; </w:t>
      </w:r>
    </w:p>
    <w:p w14:paraId="0E12D0AA" w14:textId="77777777" w:rsidR="00B507DC" w:rsidRDefault="00E706E6" w:rsidP="009B5E17">
      <w:pPr>
        <w:ind w:left="-5" w:right="61"/>
        <w:jc w:val="both"/>
      </w:pPr>
      <w:r>
        <w:t xml:space="preserve">Les cotisations à la CNPS des agents de l’Etat ; </w:t>
      </w:r>
    </w:p>
    <w:p w14:paraId="02DBC089" w14:textId="77777777" w:rsidR="00B507DC" w:rsidRDefault="00E706E6" w:rsidP="009B5E17">
      <w:pPr>
        <w:ind w:left="-5" w:right="68"/>
        <w:jc w:val="both"/>
      </w:pPr>
      <w:r>
        <w:t xml:space="preserve">Les rentes viagères et indemnités temporaires attribuées aux victimes d’accidents du travail ; </w:t>
      </w:r>
    </w:p>
    <w:p w14:paraId="4375F2C7" w14:textId="77777777" w:rsidR="00B507DC" w:rsidRDefault="00E706E6" w:rsidP="009B5E17">
      <w:pPr>
        <w:ind w:left="-5" w:right="68"/>
        <w:jc w:val="both"/>
      </w:pPr>
      <w:r>
        <w:t xml:space="preserve">Les indemnités de transport, logement, cherté de vie, prime de panier ; </w:t>
      </w:r>
    </w:p>
    <w:p w14:paraId="1EEFA02D" w14:textId="77777777" w:rsidR="00B507DC" w:rsidRDefault="00E706E6" w:rsidP="009B5E17">
      <w:pPr>
        <w:ind w:left="-5" w:right="68"/>
        <w:jc w:val="both"/>
      </w:pPr>
      <w:proofErr w:type="spellStart"/>
      <w:r>
        <w:t>Etc</w:t>
      </w:r>
      <w:proofErr w:type="spellEnd"/>
      <w:r>
        <w:t xml:space="preserve"> … </w:t>
      </w:r>
    </w:p>
    <w:p w14:paraId="69E0ADB2" w14:textId="77777777" w:rsidR="00B507DC" w:rsidRDefault="00E706E6" w:rsidP="009B5E17">
      <w:pPr>
        <w:ind w:left="-5" w:right="68"/>
        <w:jc w:val="both"/>
      </w:pPr>
      <w:r>
        <w:t xml:space="preserve">NB : en aucun cas les indemnités non taxables ne peuvent excéder 25% du salaire brut. </w:t>
      </w:r>
    </w:p>
    <w:p w14:paraId="6B746D36" w14:textId="77777777" w:rsidR="00B507DC" w:rsidRDefault="00E706E6" w:rsidP="009B5E17">
      <w:pPr>
        <w:ind w:left="-5" w:right="68"/>
        <w:jc w:val="both"/>
      </w:pPr>
      <w:r>
        <w:t xml:space="preserve">Taux ou tarifs : </w:t>
      </w:r>
    </w:p>
    <w:p w14:paraId="6C8EB1DE" w14:textId="77777777" w:rsidR="00B507DC" w:rsidRDefault="00E706E6" w:rsidP="009B5E17">
      <w:pPr>
        <w:ind w:left="-5" w:right="61"/>
        <w:jc w:val="both"/>
      </w:pPr>
      <w:r>
        <w:t xml:space="preserve">-De 0% à 20% avec application d’une progressivité par tranche et dans le taux ; </w:t>
      </w:r>
    </w:p>
    <w:p w14:paraId="394A783A" w14:textId="77777777" w:rsidR="00B507DC" w:rsidRDefault="00E706E6" w:rsidP="009B5E17">
      <w:pPr>
        <w:ind w:left="-5" w:right="238"/>
        <w:jc w:val="both"/>
      </w:pPr>
      <w:r>
        <w:t xml:space="preserve">La déclaration doit parvenir à l’Administration Fiscale le 15 du mois suivant au plus tard. Redevable légal (employeur ou débit rentier) </w:t>
      </w:r>
      <w:r>
        <w:rPr>
          <w:u w:val="single" w:color="000000"/>
        </w:rPr>
        <w:t>Le Versement Forfaitaire sur les salaires (VF) :</w:t>
      </w:r>
      <w:r>
        <w:t xml:space="preserve"> </w:t>
      </w:r>
    </w:p>
    <w:p w14:paraId="78F3162B" w14:textId="77777777" w:rsidR="00B507DC" w:rsidRDefault="00E706E6" w:rsidP="009B5E17">
      <w:pPr>
        <w:ind w:left="-5" w:right="68"/>
        <w:jc w:val="both"/>
      </w:pPr>
      <w:r>
        <w:t xml:space="preserve">(Art. 201 à 203 du CGI) </w:t>
      </w:r>
    </w:p>
    <w:p w14:paraId="20A66C4E" w14:textId="77777777" w:rsidR="00B507DC" w:rsidRDefault="00E706E6" w:rsidP="009B5E17">
      <w:pPr>
        <w:ind w:left="-5" w:right="61"/>
        <w:jc w:val="both"/>
      </w:pPr>
      <w:r>
        <w:t xml:space="preserve">Impôt acquitté par l’employeur du fait des salaires versés à l’employé. </w:t>
      </w:r>
    </w:p>
    <w:p w14:paraId="2B95A967" w14:textId="0D9CCF84" w:rsidR="00B507DC" w:rsidRDefault="00E706E6" w:rsidP="009B5E17">
      <w:pPr>
        <w:ind w:left="-5" w:right="68"/>
        <w:jc w:val="both"/>
      </w:pPr>
      <w:r>
        <w:t xml:space="preserve">Cotisation sur le total de la rémunération brute versée au salarié ainsi que des avantages en argent et ou en nature accordés. </w:t>
      </w:r>
    </w:p>
    <w:p w14:paraId="53D1C4E8" w14:textId="7F95E4D3" w:rsidR="009B5E17" w:rsidRDefault="009B5E17" w:rsidP="009B5E17">
      <w:pPr>
        <w:ind w:left="-5" w:right="68"/>
        <w:jc w:val="both"/>
      </w:pPr>
    </w:p>
    <w:p w14:paraId="3478673E" w14:textId="0A1D8148" w:rsidR="00812058" w:rsidRDefault="00812058" w:rsidP="009B5E17">
      <w:pPr>
        <w:ind w:left="-5" w:right="68"/>
        <w:jc w:val="both"/>
      </w:pPr>
    </w:p>
    <w:p w14:paraId="28F54CC6" w14:textId="77777777" w:rsidR="00812058" w:rsidRDefault="00812058" w:rsidP="009B5E17">
      <w:pPr>
        <w:ind w:left="-5" w:right="68"/>
        <w:jc w:val="both"/>
      </w:pPr>
    </w:p>
    <w:p w14:paraId="2790AFAF" w14:textId="77777777" w:rsidR="00B507DC" w:rsidRDefault="00E706E6" w:rsidP="00812058">
      <w:pPr>
        <w:spacing w:after="0"/>
        <w:ind w:left="-142" w:right="68"/>
        <w:jc w:val="both"/>
      </w:pPr>
      <w:r>
        <w:t xml:space="preserve">Exonérations : </w:t>
      </w:r>
    </w:p>
    <w:p w14:paraId="74B08930" w14:textId="33C53A6C" w:rsidR="00B507DC" w:rsidRDefault="00E706E6" w:rsidP="00812058">
      <w:pPr>
        <w:spacing w:after="0" w:line="371" w:lineRule="auto"/>
        <w:ind w:left="-142" w:right="3925"/>
        <w:jc w:val="both"/>
      </w:pPr>
      <w:r>
        <w:lastRenderedPageBreak/>
        <w:t xml:space="preserve">Montant des prestations familiales etc…Taux ou tarifs : </w:t>
      </w:r>
    </w:p>
    <w:p w14:paraId="338BF49E" w14:textId="77777777" w:rsidR="00B507DC" w:rsidRDefault="00E706E6" w:rsidP="00812058">
      <w:pPr>
        <w:spacing w:after="0"/>
        <w:ind w:left="-142" w:right="68"/>
        <w:jc w:val="both"/>
      </w:pPr>
      <w:r>
        <w:t xml:space="preserve">6% du salaire brut </w:t>
      </w:r>
    </w:p>
    <w:p w14:paraId="1B3426BF" w14:textId="77777777" w:rsidR="00B507DC" w:rsidRDefault="00E706E6" w:rsidP="00812058">
      <w:pPr>
        <w:spacing w:after="0"/>
        <w:ind w:left="-142" w:right="68"/>
        <w:jc w:val="both"/>
      </w:pPr>
      <w:r>
        <w:t xml:space="preserve">Déclaration sur DUIT le 15 du mois suivant. </w:t>
      </w:r>
    </w:p>
    <w:p w14:paraId="3ABF1C98" w14:textId="77777777" w:rsidR="00B507DC" w:rsidRDefault="00E706E6" w:rsidP="00812058">
      <w:pPr>
        <w:spacing w:after="0" w:line="259" w:lineRule="auto"/>
        <w:ind w:left="-142"/>
        <w:jc w:val="both"/>
      </w:pPr>
      <w:r>
        <w:rPr>
          <w:u w:val="single" w:color="000000"/>
        </w:rPr>
        <w:t>Le Taxe d’Apprentissage (TA) :</w:t>
      </w:r>
      <w:r>
        <w:t xml:space="preserve"> </w:t>
      </w:r>
    </w:p>
    <w:p w14:paraId="50B8B754" w14:textId="77777777" w:rsidR="00B507DC" w:rsidRDefault="00E706E6" w:rsidP="00812058">
      <w:pPr>
        <w:spacing w:after="0"/>
        <w:ind w:left="-142" w:right="68"/>
        <w:jc w:val="both"/>
      </w:pPr>
      <w:r>
        <w:t xml:space="preserve">(Art. 204 à 214 du CGI) </w:t>
      </w:r>
    </w:p>
    <w:p w14:paraId="595DEFA0" w14:textId="77777777" w:rsidR="00B507DC" w:rsidRDefault="00E706E6" w:rsidP="00812058">
      <w:pPr>
        <w:spacing w:after="0"/>
        <w:ind w:left="-142" w:right="68"/>
        <w:jc w:val="both"/>
      </w:pPr>
      <w:r>
        <w:t xml:space="preserve">Taxe parafiscale à la charge des employeurs destinée au financement de la formation professionnelle. </w:t>
      </w:r>
    </w:p>
    <w:p w14:paraId="03BEAC5D" w14:textId="77777777" w:rsidR="00B507DC" w:rsidRDefault="00E706E6" w:rsidP="00812058">
      <w:pPr>
        <w:spacing w:after="0"/>
        <w:ind w:left="-142" w:right="68"/>
        <w:jc w:val="both"/>
      </w:pPr>
      <w:r>
        <w:t xml:space="preserve">Elle est due par les entreprises qui emploient moins de trente (30) salariés. </w:t>
      </w:r>
    </w:p>
    <w:p w14:paraId="44E71A17" w14:textId="77777777" w:rsidR="00B507DC" w:rsidRDefault="00E706E6" w:rsidP="00812058">
      <w:pPr>
        <w:spacing w:after="0"/>
        <w:ind w:left="-142" w:right="68"/>
        <w:jc w:val="both"/>
      </w:pPr>
      <w:r>
        <w:t xml:space="preserve">Exonération : </w:t>
      </w:r>
    </w:p>
    <w:p w14:paraId="7A630505" w14:textId="17AA1D2F" w:rsidR="00B507DC" w:rsidRDefault="00E706E6" w:rsidP="00812058">
      <w:pPr>
        <w:spacing w:after="0"/>
        <w:ind w:left="-142" w:right="3461"/>
        <w:jc w:val="both"/>
      </w:pPr>
      <w:r>
        <w:t>Les travailleurs à domicile et les artisans ; Salaires</w:t>
      </w:r>
      <w:r w:rsidR="00812058">
        <w:t xml:space="preserve"> </w:t>
      </w:r>
      <w:r>
        <w:t>versés aux apprentis et stagiaires etc… Taux ou</w:t>
      </w:r>
      <w:r w:rsidR="00812058">
        <w:t xml:space="preserve"> </w:t>
      </w:r>
      <w:r>
        <w:t xml:space="preserve">tarifs : 2%  </w:t>
      </w:r>
    </w:p>
    <w:p w14:paraId="671EBD02" w14:textId="514C8550" w:rsidR="00B507DC" w:rsidRDefault="00E706E6" w:rsidP="00812058">
      <w:pPr>
        <w:spacing w:after="0"/>
        <w:ind w:left="-142" w:right="68"/>
        <w:jc w:val="both"/>
      </w:pPr>
      <w:r>
        <w:t xml:space="preserve">Déclaration à souscrire au plus tard le 15 février année, le contribuable peut néanmoins opter pour un paiement mensuel. </w:t>
      </w:r>
    </w:p>
    <w:p w14:paraId="2145F15C" w14:textId="77777777" w:rsidR="00B507DC" w:rsidRDefault="00E706E6" w:rsidP="00812058">
      <w:pPr>
        <w:spacing w:after="0" w:line="259" w:lineRule="auto"/>
        <w:ind w:left="-142"/>
        <w:jc w:val="both"/>
      </w:pPr>
      <w:r>
        <w:rPr>
          <w:rFonts w:ascii="Segoe UI Symbol" w:eastAsia="Segoe UI Symbol" w:hAnsi="Segoe UI Symbol" w:cs="Segoe UI Symbol"/>
        </w:rPr>
        <w:t>•</w:t>
      </w:r>
      <w:r>
        <w:rPr>
          <w:rFonts w:ascii="Arial" w:eastAsia="Arial" w:hAnsi="Arial" w:cs="Arial"/>
        </w:rPr>
        <w:t xml:space="preserve"> </w:t>
      </w:r>
      <w:r>
        <w:rPr>
          <w:u w:val="single" w:color="000000"/>
        </w:rPr>
        <w:t>L’IMPOTS INDIRECTS :</w:t>
      </w:r>
      <w:r>
        <w:t xml:space="preserve"> </w:t>
      </w:r>
    </w:p>
    <w:p w14:paraId="13492506" w14:textId="77777777" w:rsidR="00B507DC" w:rsidRDefault="00E706E6" w:rsidP="00812058">
      <w:pPr>
        <w:spacing w:after="0"/>
        <w:ind w:left="-142" w:right="68"/>
        <w:jc w:val="both"/>
      </w:pPr>
      <w:r>
        <w:t xml:space="preserve">Les impôts indirects sont supportés par le contribuable mais versés par une tierce personne. Cette tierce personne, le redevable, agit comme un intermédiaire entre le contribuable et les entités publiques à qui l’impôt est versé. </w:t>
      </w:r>
    </w:p>
    <w:p w14:paraId="781E1F68" w14:textId="77777777" w:rsidR="00B507DC" w:rsidRDefault="00E706E6" w:rsidP="00812058">
      <w:pPr>
        <w:spacing w:after="0"/>
        <w:ind w:left="-142" w:right="61"/>
        <w:jc w:val="both"/>
      </w:pPr>
      <w:r>
        <w:t xml:space="preserve">Nous étudions à titre d’exemple la Taxe sur la valeur ajoutée.  </w:t>
      </w:r>
    </w:p>
    <w:p w14:paraId="36A7DCE1" w14:textId="77777777" w:rsidR="00B507DC" w:rsidRDefault="00E706E6" w:rsidP="00812058">
      <w:pPr>
        <w:spacing w:after="0" w:line="259" w:lineRule="auto"/>
        <w:ind w:left="-142" w:right="101"/>
        <w:jc w:val="both"/>
      </w:pPr>
      <w:r>
        <w:t xml:space="preserve"> </w:t>
      </w:r>
      <w:r>
        <w:rPr>
          <w:u w:val="single" w:color="000000"/>
        </w:rPr>
        <w:t>Taxe sur la Valeur Ajoutée (TVA) :</w:t>
      </w:r>
      <w:r>
        <w:t xml:space="preserve">  </w:t>
      </w:r>
    </w:p>
    <w:p w14:paraId="60D18691" w14:textId="77777777" w:rsidR="00B507DC" w:rsidRDefault="00E706E6" w:rsidP="00812058">
      <w:pPr>
        <w:spacing w:after="0"/>
        <w:ind w:left="-142" w:right="68"/>
        <w:jc w:val="both"/>
      </w:pPr>
      <w:r>
        <w:t xml:space="preserve">Art.356 à 410 du CGI. </w:t>
      </w:r>
    </w:p>
    <w:p w14:paraId="612458EB" w14:textId="77777777" w:rsidR="00B507DC" w:rsidRDefault="00E706E6" w:rsidP="00812058">
      <w:pPr>
        <w:spacing w:after="0"/>
        <w:ind w:left="-142" w:right="61"/>
        <w:jc w:val="both"/>
      </w:pPr>
      <w:r>
        <w:t xml:space="preserve">Impôt sur la consommation assis sur le chiffre d’affaires perçu à tous les stades du circuit commercial. </w:t>
      </w:r>
    </w:p>
    <w:p w14:paraId="4A740CF5" w14:textId="77777777" w:rsidR="00B507DC" w:rsidRDefault="00E706E6" w:rsidP="00812058">
      <w:pPr>
        <w:spacing w:after="0"/>
        <w:ind w:left="-142" w:right="68"/>
        <w:jc w:val="both"/>
      </w:pPr>
      <w:r>
        <w:t xml:space="preserve">Sont soumis à la TVA les opérations effectuées à titre onéreux par des assujettis constituant : </w:t>
      </w:r>
    </w:p>
    <w:p w14:paraId="6121E7D2" w14:textId="77777777" w:rsidR="00B507DC" w:rsidRDefault="00E706E6" w:rsidP="009B5E17">
      <w:pPr>
        <w:spacing w:after="0"/>
        <w:ind w:left="-5" w:right="68"/>
        <w:jc w:val="both"/>
      </w:pPr>
      <w:r>
        <w:t xml:space="preserve">Les livraisons de biens en Guinée ; </w:t>
      </w:r>
    </w:p>
    <w:p w14:paraId="6CC754CE" w14:textId="77777777" w:rsidR="00B507DC" w:rsidRDefault="00E706E6" w:rsidP="009B5E17">
      <w:pPr>
        <w:spacing w:after="0"/>
        <w:ind w:left="-5" w:right="68"/>
        <w:jc w:val="both"/>
      </w:pPr>
      <w:r>
        <w:t xml:space="preserve">Les prestations de service en Guinée ; </w:t>
      </w:r>
    </w:p>
    <w:p w14:paraId="360D43CB" w14:textId="77777777" w:rsidR="00B507DC" w:rsidRDefault="00E706E6" w:rsidP="009B5E17">
      <w:pPr>
        <w:spacing w:after="0"/>
        <w:ind w:left="-5" w:right="68"/>
        <w:jc w:val="both"/>
      </w:pPr>
      <w:r>
        <w:t xml:space="preserve">Les importations de biens et de service en Guinée ; </w:t>
      </w:r>
    </w:p>
    <w:p w14:paraId="35EE9E62" w14:textId="77777777" w:rsidR="00B507DC" w:rsidRDefault="00E706E6" w:rsidP="009B5E17">
      <w:pPr>
        <w:ind w:left="-5" w:right="68"/>
        <w:jc w:val="both"/>
      </w:pPr>
      <w:r>
        <w:t xml:space="preserve">Les livraisons à soi-même ; </w:t>
      </w:r>
    </w:p>
    <w:p w14:paraId="704C2A05" w14:textId="327EEA94" w:rsidR="00B507DC" w:rsidRDefault="00E706E6" w:rsidP="009B5E17">
      <w:pPr>
        <w:spacing w:after="0"/>
        <w:ind w:left="-5" w:right="68"/>
        <w:jc w:val="both"/>
      </w:pPr>
      <w:r>
        <w:t xml:space="preserve">Les exportations au départ de la Guinée. </w:t>
      </w:r>
    </w:p>
    <w:p w14:paraId="34F4FF66" w14:textId="0A83E9FF" w:rsidR="00B507DC" w:rsidRDefault="00E706E6" w:rsidP="009B5E17">
      <w:pPr>
        <w:ind w:left="-5" w:right="4857"/>
        <w:jc w:val="both"/>
      </w:pPr>
      <w:r>
        <w:t xml:space="preserve">Exonérations : Art. 362.I du CGI. </w:t>
      </w:r>
    </w:p>
    <w:p w14:paraId="53CB59A0" w14:textId="4E60EB9C" w:rsidR="00B507DC" w:rsidRDefault="00E706E6" w:rsidP="00812058">
      <w:pPr>
        <w:spacing w:after="0" w:line="371" w:lineRule="auto"/>
        <w:ind w:left="-5" w:right="5306"/>
        <w:jc w:val="both"/>
      </w:pPr>
      <w:r>
        <w:t>Taux de droit commun 18</w:t>
      </w:r>
      <w:r w:rsidR="009B5E17">
        <w:t>% Taux</w:t>
      </w:r>
      <w:r w:rsidR="00812058">
        <w:t xml:space="preserve"> </w:t>
      </w:r>
      <w:r>
        <w:t xml:space="preserve">exceptionnel 0% </w:t>
      </w:r>
    </w:p>
    <w:p w14:paraId="3B3A369A" w14:textId="77777777" w:rsidR="00B507DC" w:rsidRPr="009B5E17" w:rsidRDefault="00E706E6">
      <w:pPr>
        <w:spacing w:after="161" w:line="259" w:lineRule="auto"/>
        <w:ind w:left="370" w:right="101"/>
        <w:rPr>
          <w:b/>
          <w:bCs/>
        </w:rPr>
      </w:pPr>
      <w:r w:rsidRPr="009B5E17">
        <w:rPr>
          <w:b/>
          <w:bCs/>
        </w:rPr>
        <w:lastRenderedPageBreak/>
        <w:t>B-</w:t>
      </w:r>
      <w:r w:rsidRPr="009B5E17">
        <w:rPr>
          <w:rFonts w:ascii="Arial" w:eastAsia="Arial" w:hAnsi="Arial" w:cs="Arial"/>
          <w:b/>
          <w:bCs/>
        </w:rPr>
        <w:t xml:space="preserve"> </w:t>
      </w:r>
      <w:r w:rsidRPr="009B5E17">
        <w:rPr>
          <w:b/>
          <w:bCs/>
          <w:u w:val="single" w:color="000000"/>
        </w:rPr>
        <w:t>Les recettes non fiscales :</w:t>
      </w:r>
      <w:r w:rsidRPr="009B5E17">
        <w:rPr>
          <w:b/>
          <w:bCs/>
        </w:rPr>
        <w:t xml:space="preserve"> </w:t>
      </w:r>
    </w:p>
    <w:p w14:paraId="434D85DD" w14:textId="77777777" w:rsidR="00B507DC" w:rsidRDefault="00E706E6">
      <w:pPr>
        <w:spacing w:after="0"/>
        <w:ind w:left="-5" w:right="68"/>
      </w:pPr>
      <w:r>
        <w:t xml:space="preserve">Ces recettes sont constituées des (dons ; Legs et Fonds de Concours) </w:t>
      </w:r>
    </w:p>
    <w:tbl>
      <w:tblPr>
        <w:tblStyle w:val="TableGrid"/>
        <w:tblW w:w="9135" w:type="dxa"/>
        <w:tblInd w:w="4" w:type="dxa"/>
        <w:tblCellMar>
          <w:top w:w="58" w:type="dxa"/>
          <w:left w:w="104" w:type="dxa"/>
          <w:right w:w="115" w:type="dxa"/>
        </w:tblCellMar>
        <w:tblLook w:val="04A0" w:firstRow="1" w:lastRow="0" w:firstColumn="1" w:lastColumn="0" w:noHBand="0" w:noVBand="1"/>
      </w:tblPr>
      <w:tblGrid>
        <w:gridCol w:w="3009"/>
        <w:gridCol w:w="6126"/>
      </w:tblGrid>
      <w:tr w:rsidR="00B507DC" w14:paraId="5A043E82" w14:textId="77777777">
        <w:trPr>
          <w:trHeight w:val="352"/>
        </w:trPr>
        <w:tc>
          <w:tcPr>
            <w:tcW w:w="3009" w:type="dxa"/>
            <w:tcBorders>
              <w:top w:val="single" w:sz="3" w:space="0" w:color="000000"/>
              <w:left w:val="single" w:sz="3" w:space="0" w:color="000000"/>
              <w:bottom w:val="single" w:sz="3" w:space="0" w:color="000000"/>
              <w:right w:val="single" w:sz="3" w:space="0" w:color="000000"/>
            </w:tcBorders>
          </w:tcPr>
          <w:p w14:paraId="101559E9" w14:textId="77777777" w:rsidR="00B507DC" w:rsidRDefault="00E706E6">
            <w:pPr>
              <w:spacing w:line="259" w:lineRule="auto"/>
              <w:ind w:left="4" w:firstLine="0"/>
            </w:pPr>
            <w:r>
              <w:t xml:space="preserve">Dons </w:t>
            </w:r>
          </w:p>
        </w:tc>
        <w:tc>
          <w:tcPr>
            <w:tcW w:w="6126" w:type="dxa"/>
            <w:tcBorders>
              <w:top w:val="single" w:sz="3" w:space="0" w:color="000000"/>
              <w:left w:val="single" w:sz="3" w:space="0" w:color="000000"/>
              <w:bottom w:val="single" w:sz="3" w:space="0" w:color="000000"/>
              <w:right w:val="single" w:sz="3" w:space="0" w:color="000000"/>
            </w:tcBorders>
          </w:tcPr>
          <w:p w14:paraId="1E270555" w14:textId="77777777" w:rsidR="00B507DC" w:rsidRDefault="00E706E6">
            <w:pPr>
              <w:spacing w:line="259" w:lineRule="auto"/>
              <w:ind w:left="0" w:firstLine="0"/>
            </w:pPr>
            <w:r>
              <w:t xml:space="preserve">Legs et Fonds de Concours </w:t>
            </w:r>
          </w:p>
        </w:tc>
      </w:tr>
      <w:tr w:rsidR="00B507DC" w14:paraId="391C2ED7" w14:textId="77777777">
        <w:trPr>
          <w:trHeight w:val="1376"/>
        </w:trPr>
        <w:tc>
          <w:tcPr>
            <w:tcW w:w="3009" w:type="dxa"/>
            <w:tcBorders>
              <w:top w:val="single" w:sz="3" w:space="0" w:color="000000"/>
              <w:left w:val="single" w:sz="3" w:space="0" w:color="000000"/>
              <w:bottom w:val="single" w:sz="3" w:space="0" w:color="000000"/>
              <w:right w:val="single" w:sz="3" w:space="0" w:color="000000"/>
            </w:tcBorders>
          </w:tcPr>
          <w:p w14:paraId="6FDED6A4" w14:textId="77777777" w:rsidR="00B507DC" w:rsidRDefault="00E706E6">
            <w:pPr>
              <w:spacing w:line="259" w:lineRule="auto"/>
              <w:ind w:left="4" w:firstLine="0"/>
            </w:pPr>
            <w:r>
              <w:t xml:space="preserve"> </w:t>
            </w:r>
          </w:p>
        </w:tc>
        <w:tc>
          <w:tcPr>
            <w:tcW w:w="6126" w:type="dxa"/>
            <w:tcBorders>
              <w:top w:val="single" w:sz="3" w:space="0" w:color="000000"/>
              <w:left w:val="single" w:sz="3" w:space="0" w:color="000000"/>
              <w:bottom w:val="single" w:sz="3" w:space="0" w:color="000000"/>
              <w:right w:val="single" w:sz="3" w:space="0" w:color="000000"/>
            </w:tcBorders>
          </w:tcPr>
          <w:p w14:paraId="52DD547A" w14:textId="77777777" w:rsidR="00B507DC" w:rsidRDefault="00E706E6">
            <w:pPr>
              <w:spacing w:after="2" w:line="240" w:lineRule="auto"/>
              <w:ind w:left="0" w:firstLine="0"/>
            </w:pPr>
            <w:r>
              <w:t xml:space="preserve">Sommes versées par des personnes morales ou physiques pour concourir à une dépense d’intérêt public. </w:t>
            </w:r>
          </w:p>
          <w:p w14:paraId="0FFEB2C0" w14:textId="77777777" w:rsidR="00B507DC" w:rsidRDefault="00E706E6">
            <w:pPr>
              <w:spacing w:line="259" w:lineRule="auto"/>
              <w:ind w:left="0" w:firstLine="0"/>
            </w:pPr>
            <w:r>
              <w:t xml:space="preserve">Ex : Financement d’une école. </w:t>
            </w:r>
          </w:p>
        </w:tc>
      </w:tr>
    </w:tbl>
    <w:p w14:paraId="093DC5B3" w14:textId="49CC4EF6" w:rsidR="00B507DC" w:rsidRPr="009B5E17" w:rsidRDefault="00B507DC">
      <w:pPr>
        <w:spacing w:after="202" w:line="259" w:lineRule="auto"/>
        <w:ind w:left="0" w:firstLine="0"/>
        <w:rPr>
          <w:sz w:val="2"/>
          <w:szCs w:val="2"/>
        </w:rPr>
      </w:pPr>
    </w:p>
    <w:p w14:paraId="21D62478" w14:textId="77777777" w:rsidR="00B507DC" w:rsidRDefault="00E706E6">
      <w:pPr>
        <w:spacing w:after="0"/>
        <w:ind w:left="720" w:right="68" w:hanging="360"/>
      </w:pPr>
      <w:r>
        <w:t>-</w:t>
      </w:r>
      <w:r>
        <w:rPr>
          <w:rFonts w:ascii="Arial" w:eastAsia="Arial" w:hAnsi="Arial" w:cs="Arial"/>
        </w:rPr>
        <w:t xml:space="preserve"> </w:t>
      </w:r>
      <w:r>
        <w:t xml:space="preserve">Autres recettes comprenant (les revenus de la propriété, les ventes de biens et services, les amendes, pénalités et confiscations) </w:t>
      </w:r>
    </w:p>
    <w:p w14:paraId="2F41CB2A" w14:textId="77777777" w:rsidR="00B507DC" w:rsidRDefault="00E706E6">
      <w:pPr>
        <w:spacing w:after="163" w:line="259" w:lineRule="auto"/>
        <w:ind w:left="720" w:firstLine="0"/>
      </w:pPr>
      <w:r>
        <w:t xml:space="preserve"> </w:t>
      </w:r>
    </w:p>
    <w:p w14:paraId="0A1BCD3F" w14:textId="77777777" w:rsidR="00B507DC" w:rsidRDefault="00E706E6">
      <w:pPr>
        <w:spacing w:after="161" w:line="259" w:lineRule="auto"/>
        <w:ind w:left="0" w:firstLine="0"/>
      </w:pPr>
      <w:r>
        <w:t xml:space="preserve"> </w:t>
      </w:r>
    </w:p>
    <w:p w14:paraId="6EBFFDC3" w14:textId="77777777" w:rsidR="009B5E17" w:rsidRDefault="00E706E6" w:rsidP="009B5E17">
      <w:pPr>
        <w:tabs>
          <w:tab w:val="center" w:pos="4118"/>
        </w:tabs>
        <w:ind w:left="-15" w:firstLine="0"/>
      </w:pPr>
      <w:r>
        <w:rPr>
          <w:sz w:val="22"/>
        </w:rPr>
        <w:t xml:space="preserve"> </w:t>
      </w:r>
      <w:r>
        <w:rPr>
          <w:sz w:val="22"/>
        </w:rPr>
        <w:tab/>
      </w:r>
    </w:p>
    <w:p w14:paraId="2F03A420" w14:textId="77777777" w:rsidR="009B5E17" w:rsidRDefault="009B5E17" w:rsidP="009B5E17">
      <w:pPr>
        <w:tabs>
          <w:tab w:val="center" w:pos="4118"/>
        </w:tabs>
        <w:ind w:left="-15" w:firstLine="0"/>
      </w:pPr>
    </w:p>
    <w:p w14:paraId="05C172B9" w14:textId="77777777" w:rsidR="009B5E17" w:rsidRDefault="009B5E17" w:rsidP="009B5E17">
      <w:pPr>
        <w:tabs>
          <w:tab w:val="center" w:pos="4118"/>
        </w:tabs>
        <w:ind w:left="-15" w:firstLine="0"/>
      </w:pPr>
    </w:p>
    <w:p w14:paraId="5EFE9152" w14:textId="77777777" w:rsidR="009B5E17" w:rsidRDefault="009B5E17" w:rsidP="009B5E17">
      <w:pPr>
        <w:tabs>
          <w:tab w:val="center" w:pos="4118"/>
        </w:tabs>
        <w:ind w:left="-15" w:firstLine="0"/>
      </w:pPr>
    </w:p>
    <w:p w14:paraId="650F1A87" w14:textId="3DFE1DAE" w:rsidR="009B5E17" w:rsidRDefault="009B5E17" w:rsidP="009B5E17">
      <w:pPr>
        <w:tabs>
          <w:tab w:val="center" w:pos="4118"/>
        </w:tabs>
        <w:ind w:left="-15" w:firstLine="0"/>
      </w:pPr>
    </w:p>
    <w:p w14:paraId="58C58376" w14:textId="2C512B3F" w:rsidR="009B5E17" w:rsidRDefault="009B5E17" w:rsidP="009B5E17">
      <w:pPr>
        <w:tabs>
          <w:tab w:val="center" w:pos="4118"/>
        </w:tabs>
        <w:ind w:left="-15" w:firstLine="0"/>
      </w:pPr>
    </w:p>
    <w:p w14:paraId="40F4E083" w14:textId="0D55C627" w:rsidR="009B5E17" w:rsidRDefault="009B5E17" w:rsidP="009B5E17">
      <w:pPr>
        <w:tabs>
          <w:tab w:val="center" w:pos="4118"/>
        </w:tabs>
        <w:ind w:left="-15" w:firstLine="0"/>
      </w:pPr>
    </w:p>
    <w:p w14:paraId="2E9F815D" w14:textId="77777777" w:rsidR="009B5E17" w:rsidRDefault="009B5E17" w:rsidP="009B5E17">
      <w:pPr>
        <w:tabs>
          <w:tab w:val="center" w:pos="4118"/>
        </w:tabs>
        <w:ind w:left="-15" w:firstLine="0"/>
      </w:pPr>
    </w:p>
    <w:p w14:paraId="26E3F0DA" w14:textId="7FA339E1" w:rsidR="00B507DC" w:rsidRDefault="00E706E6" w:rsidP="009B5E17">
      <w:pPr>
        <w:tabs>
          <w:tab w:val="center" w:pos="4118"/>
        </w:tabs>
        <w:ind w:left="-15" w:firstLine="0"/>
      </w:pPr>
      <w:r>
        <w:t xml:space="preserve"> </w:t>
      </w:r>
    </w:p>
    <w:p w14:paraId="33F07B8D" w14:textId="77777777" w:rsidR="009B5E17" w:rsidRDefault="009B5E17" w:rsidP="009B5E17">
      <w:pPr>
        <w:tabs>
          <w:tab w:val="center" w:pos="4118"/>
        </w:tabs>
        <w:ind w:left="-15" w:firstLine="0"/>
      </w:pPr>
    </w:p>
    <w:p w14:paraId="119BAA3F" w14:textId="071DEC39" w:rsidR="00B507DC" w:rsidRDefault="00E706E6">
      <w:pPr>
        <w:spacing w:after="178" w:line="259" w:lineRule="auto"/>
        <w:ind w:left="0" w:firstLine="0"/>
        <w:rPr>
          <w:sz w:val="22"/>
        </w:rPr>
      </w:pPr>
      <w:r>
        <w:rPr>
          <w:sz w:val="22"/>
        </w:rPr>
        <w:t xml:space="preserve"> </w:t>
      </w:r>
    </w:p>
    <w:p w14:paraId="21FC0C78" w14:textId="5D770F30" w:rsidR="009B5E17" w:rsidRDefault="009B5E17">
      <w:pPr>
        <w:spacing w:after="178" w:line="259" w:lineRule="auto"/>
        <w:ind w:left="0" w:firstLine="0"/>
        <w:rPr>
          <w:sz w:val="22"/>
        </w:rPr>
      </w:pPr>
    </w:p>
    <w:p w14:paraId="3B8E9C19" w14:textId="773BB1B6" w:rsidR="009B5E17" w:rsidRDefault="009B5E17">
      <w:pPr>
        <w:spacing w:after="178" w:line="259" w:lineRule="auto"/>
        <w:ind w:left="0" w:firstLine="0"/>
        <w:rPr>
          <w:sz w:val="22"/>
        </w:rPr>
      </w:pPr>
    </w:p>
    <w:p w14:paraId="481D7E7D" w14:textId="2E8A667D" w:rsidR="00812058" w:rsidRDefault="00812058">
      <w:pPr>
        <w:spacing w:after="178" w:line="259" w:lineRule="auto"/>
        <w:ind w:left="0" w:firstLine="0"/>
        <w:rPr>
          <w:sz w:val="22"/>
        </w:rPr>
      </w:pPr>
    </w:p>
    <w:p w14:paraId="0E8AA487" w14:textId="77D67DB8" w:rsidR="00812058" w:rsidRDefault="00812058">
      <w:pPr>
        <w:spacing w:after="178" w:line="259" w:lineRule="auto"/>
        <w:ind w:left="0" w:firstLine="0"/>
        <w:rPr>
          <w:sz w:val="22"/>
        </w:rPr>
      </w:pPr>
    </w:p>
    <w:p w14:paraId="7AA20243" w14:textId="343DBF73" w:rsidR="00812058" w:rsidRDefault="00812058">
      <w:pPr>
        <w:spacing w:after="178" w:line="259" w:lineRule="auto"/>
        <w:ind w:left="0" w:firstLine="0"/>
        <w:rPr>
          <w:sz w:val="22"/>
        </w:rPr>
      </w:pPr>
    </w:p>
    <w:p w14:paraId="3FE6630A" w14:textId="77777777" w:rsidR="00812058" w:rsidRDefault="00812058">
      <w:pPr>
        <w:spacing w:after="178" w:line="259" w:lineRule="auto"/>
        <w:ind w:left="0" w:firstLine="0"/>
        <w:rPr>
          <w:sz w:val="22"/>
        </w:rPr>
      </w:pPr>
    </w:p>
    <w:p w14:paraId="5761BE1A" w14:textId="77777777" w:rsidR="009B5E17" w:rsidRDefault="009B5E17">
      <w:pPr>
        <w:spacing w:after="178" w:line="259" w:lineRule="auto"/>
        <w:ind w:left="0" w:firstLine="0"/>
      </w:pPr>
    </w:p>
    <w:p w14:paraId="1BDEFE91" w14:textId="77777777" w:rsidR="00B507DC" w:rsidRPr="009B5E17" w:rsidRDefault="00E706E6">
      <w:pPr>
        <w:spacing w:after="209" w:line="259" w:lineRule="auto"/>
        <w:rPr>
          <w:b/>
          <w:bCs/>
        </w:rPr>
      </w:pPr>
      <w:r w:rsidRPr="009B5E17">
        <w:rPr>
          <w:b/>
          <w:bCs/>
          <w:sz w:val="24"/>
        </w:rPr>
        <w:lastRenderedPageBreak/>
        <w:t xml:space="preserve">BIBLIOGRAPHIE </w:t>
      </w:r>
    </w:p>
    <w:p w14:paraId="54D8C5AF" w14:textId="77777777" w:rsidR="00B507DC" w:rsidRPr="009B5E17" w:rsidRDefault="00E706E6">
      <w:pPr>
        <w:numPr>
          <w:ilvl w:val="0"/>
          <w:numId w:val="6"/>
        </w:numPr>
        <w:spacing w:after="16" w:line="259" w:lineRule="auto"/>
        <w:ind w:hanging="360"/>
        <w:rPr>
          <w:sz w:val="32"/>
          <w:szCs w:val="24"/>
        </w:rPr>
      </w:pPr>
      <w:r w:rsidRPr="009B5E17">
        <w:rPr>
          <w:szCs w:val="24"/>
        </w:rPr>
        <w:t xml:space="preserve">Finances Publiques : Maurice Duverger </w:t>
      </w:r>
    </w:p>
    <w:p w14:paraId="1B24AF95" w14:textId="77777777" w:rsidR="00B507DC" w:rsidRPr="009B5E17" w:rsidRDefault="00E706E6">
      <w:pPr>
        <w:numPr>
          <w:ilvl w:val="0"/>
          <w:numId w:val="6"/>
        </w:numPr>
        <w:spacing w:after="16" w:line="259" w:lineRule="auto"/>
        <w:ind w:hanging="360"/>
        <w:rPr>
          <w:sz w:val="32"/>
          <w:szCs w:val="24"/>
        </w:rPr>
      </w:pPr>
      <w:r w:rsidRPr="009B5E17">
        <w:rPr>
          <w:szCs w:val="24"/>
        </w:rPr>
        <w:t>Recueil de textes sur la gestion des finances publiques : 7</w:t>
      </w:r>
      <w:r w:rsidRPr="009B5E17">
        <w:rPr>
          <w:szCs w:val="24"/>
          <w:vertAlign w:val="superscript"/>
        </w:rPr>
        <w:t>ème</w:t>
      </w:r>
      <w:r w:rsidRPr="009B5E17">
        <w:rPr>
          <w:szCs w:val="24"/>
        </w:rPr>
        <w:t xml:space="preserve"> édition </w:t>
      </w:r>
    </w:p>
    <w:p w14:paraId="697094E8" w14:textId="77777777" w:rsidR="00B507DC" w:rsidRPr="009B5E17" w:rsidRDefault="00E706E6">
      <w:pPr>
        <w:numPr>
          <w:ilvl w:val="0"/>
          <w:numId w:val="6"/>
        </w:numPr>
        <w:spacing w:after="16" w:line="259" w:lineRule="auto"/>
        <w:ind w:hanging="360"/>
        <w:rPr>
          <w:sz w:val="32"/>
          <w:szCs w:val="24"/>
        </w:rPr>
      </w:pPr>
      <w:r w:rsidRPr="009B5E17">
        <w:rPr>
          <w:szCs w:val="24"/>
        </w:rPr>
        <w:t xml:space="preserve">LOI ORGANIQUE RELATIVE AUX LOIS DE FINANCES ET REGLEMENT GENERAL SUR LA GESTION BUDGETAIRE ET LA COMPTABILITE PUBLIQUE FEVRIER 2013 </w:t>
      </w:r>
    </w:p>
    <w:p w14:paraId="1F0D87D0" w14:textId="77777777" w:rsidR="00B507DC" w:rsidRPr="009B5E17" w:rsidRDefault="00E706E6">
      <w:pPr>
        <w:numPr>
          <w:ilvl w:val="0"/>
          <w:numId w:val="6"/>
        </w:numPr>
        <w:spacing w:after="50" w:line="259" w:lineRule="auto"/>
        <w:ind w:hanging="360"/>
        <w:rPr>
          <w:sz w:val="32"/>
          <w:szCs w:val="24"/>
        </w:rPr>
      </w:pPr>
      <w:r w:rsidRPr="009B5E17">
        <w:rPr>
          <w:szCs w:val="24"/>
        </w:rPr>
        <w:t>Code général des impôts</w:t>
      </w:r>
      <w:r w:rsidRPr="009B5E17">
        <w:rPr>
          <w:sz w:val="24"/>
          <w:szCs w:val="24"/>
        </w:rPr>
        <w:t xml:space="preserve"> </w:t>
      </w:r>
    </w:p>
    <w:p w14:paraId="651FEFE1" w14:textId="77777777" w:rsidR="00B507DC" w:rsidRPr="009B5E17" w:rsidRDefault="00E706E6">
      <w:pPr>
        <w:numPr>
          <w:ilvl w:val="0"/>
          <w:numId w:val="6"/>
        </w:numPr>
        <w:spacing w:after="132" w:line="259" w:lineRule="auto"/>
        <w:ind w:hanging="360"/>
        <w:rPr>
          <w:sz w:val="32"/>
          <w:szCs w:val="24"/>
        </w:rPr>
      </w:pPr>
      <w:r w:rsidRPr="009B5E17">
        <w:rPr>
          <w:szCs w:val="24"/>
        </w:rPr>
        <w:t xml:space="preserve">Cours de Finances Publiques et Fiscalité de Pr Alpha Abdoulaye DIALLO </w:t>
      </w:r>
    </w:p>
    <w:p w14:paraId="15428938" w14:textId="77777777" w:rsidR="00B507DC" w:rsidRPr="009B5E17" w:rsidRDefault="00E706E6">
      <w:pPr>
        <w:spacing w:after="16" w:line="259" w:lineRule="auto"/>
        <w:rPr>
          <w:sz w:val="32"/>
          <w:szCs w:val="24"/>
        </w:rPr>
      </w:pPr>
      <w:r w:rsidRPr="009B5E17">
        <w:rPr>
          <w:szCs w:val="24"/>
        </w:rPr>
        <w:t xml:space="preserve">Année académique : 2022-2023 </w:t>
      </w:r>
    </w:p>
    <w:p w14:paraId="07497B2B" w14:textId="77777777" w:rsidR="009B5E17" w:rsidRDefault="009B5E17">
      <w:pPr>
        <w:spacing w:after="200" w:line="259" w:lineRule="auto"/>
        <w:ind w:left="720" w:firstLine="0"/>
        <w:rPr>
          <w:szCs w:val="24"/>
        </w:rPr>
      </w:pPr>
    </w:p>
    <w:p w14:paraId="044EA86A" w14:textId="77777777" w:rsidR="009B5E17" w:rsidRDefault="009B5E17">
      <w:pPr>
        <w:spacing w:after="200" w:line="259" w:lineRule="auto"/>
        <w:ind w:left="720" w:firstLine="0"/>
        <w:rPr>
          <w:szCs w:val="24"/>
        </w:rPr>
      </w:pPr>
    </w:p>
    <w:p w14:paraId="004E4946" w14:textId="77777777" w:rsidR="009B5E17" w:rsidRDefault="009B5E17">
      <w:pPr>
        <w:spacing w:after="200" w:line="259" w:lineRule="auto"/>
        <w:ind w:left="720" w:firstLine="0"/>
        <w:rPr>
          <w:szCs w:val="24"/>
        </w:rPr>
      </w:pPr>
    </w:p>
    <w:p w14:paraId="61B6F25F" w14:textId="77777777" w:rsidR="009B5E17" w:rsidRDefault="009B5E17">
      <w:pPr>
        <w:spacing w:after="200" w:line="259" w:lineRule="auto"/>
        <w:ind w:left="720" w:firstLine="0"/>
        <w:rPr>
          <w:szCs w:val="24"/>
        </w:rPr>
      </w:pPr>
    </w:p>
    <w:p w14:paraId="3496F433" w14:textId="565DA605" w:rsidR="00B507DC" w:rsidRPr="009B5E17" w:rsidRDefault="00E706E6">
      <w:pPr>
        <w:spacing w:after="200" w:line="259" w:lineRule="auto"/>
        <w:ind w:left="720" w:firstLine="0"/>
        <w:rPr>
          <w:sz w:val="32"/>
          <w:szCs w:val="24"/>
        </w:rPr>
      </w:pPr>
      <w:r w:rsidRPr="009B5E17">
        <w:rPr>
          <w:szCs w:val="24"/>
        </w:rPr>
        <w:t xml:space="preserve"> </w:t>
      </w:r>
    </w:p>
    <w:p w14:paraId="1E230D9D" w14:textId="77777777" w:rsidR="00B507DC" w:rsidRDefault="00E706E6">
      <w:pPr>
        <w:spacing w:after="161" w:line="259" w:lineRule="auto"/>
        <w:ind w:left="-5"/>
      </w:pPr>
      <w:r>
        <w:rPr>
          <w:b/>
        </w:rPr>
        <w:t xml:space="preserve">Liste des membres : </w:t>
      </w:r>
    </w:p>
    <w:p w14:paraId="41CE05A5" w14:textId="31B0C7C0" w:rsidR="00B507DC" w:rsidRDefault="009B5E17">
      <w:pPr>
        <w:spacing w:after="161" w:line="259" w:lineRule="auto"/>
        <w:ind w:left="-5"/>
      </w:pPr>
      <w:proofErr w:type="spellStart"/>
      <w:r>
        <w:rPr>
          <w:b/>
        </w:rPr>
        <w:t>Kemo</w:t>
      </w:r>
      <w:proofErr w:type="spellEnd"/>
      <w:r>
        <w:rPr>
          <w:b/>
        </w:rPr>
        <w:t xml:space="preserve"> </w:t>
      </w:r>
      <w:r w:rsidR="00E706E6">
        <w:rPr>
          <w:b/>
        </w:rPr>
        <w:t xml:space="preserve">SANGARE </w:t>
      </w:r>
    </w:p>
    <w:p w14:paraId="17BB5AF8" w14:textId="77777777" w:rsidR="00B507DC" w:rsidRDefault="00E706E6">
      <w:pPr>
        <w:spacing w:after="161" w:line="259" w:lineRule="auto"/>
        <w:ind w:left="-5"/>
      </w:pPr>
      <w:r>
        <w:rPr>
          <w:b/>
        </w:rPr>
        <w:t xml:space="preserve">Fanta CONDE </w:t>
      </w:r>
    </w:p>
    <w:p w14:paraId="099D8F46" w14:textId="77777777" w:rsidR="00B507DC" w:rsidRDefault="00E706E6">
      <w:pPr>
        <w:spacing w:after="161" w:line="259" w:lineRule="auto"/>
        <w:ind w:left="-5"/>
      </w:pPr>
      <w:r>
        <w:rPr>
          <w:b/>
        </w:rPr>
        <w:t xml:space="preserve">Ousmane SYLLA </w:t>
      </w:r>
    </w:p>
    <w:p w14:paraId="7C8E263A" w14:textId="77777777" w:rsidR="00B507DC" w:rsidRDefault="00E706E6">
      <w:pPr>
        <w:spacing w:after="99" w:line="259" w:lineRule="auto"/>
        <w:ind w:left="-5"/>
      </w:pPr>
      <w:proofErr w:type="spellStart"/>
      <w:r>
        <w:rPr>
          <w:b/>
        </w:rPr>
        <w:t>Naby</w:t>
      </w:r>
      <w:proofErr w:type="spellEnd"/>
      <w:r>
        <w:rPr>
          <w:b/>
        </w:rPr>
        <w:t xml:space="preserve"> CAMARA </w:t>
      </w:r>
    </w:p>
    <w:p w14:paraId="745D68F1" w14:textId="77777777" w:rsidR="00B507DC" w:rsidRDefault="00E706E6">
      <w:pPr>
        <w:spacing w:after="222" w:line="259" w:lineRule="auto"/>
        <w:ind w:left="0" w:firstLine="0"/>
      </w:pPr>
      <w:r>
        <w:rPr>
          <w:sz w:val="22"/>
        </w:rPr>
        <w:t xml:space="preserve"> </w:t>
      </w:r>
    </w:p>
    <w:p w14:paraId="3E8FD8B7" w14:textId="77777777" w:rsidR="00B507DC" w:rsidRDefault="00E706E6">
      <w:pPr>
        <w:spacing w:after="0" w:line="259" w:lineRule="auto"/>
        <w:ind w:left="0" w:right="4518" w:firstLine="0"/>
        <w:jc w:val="right"/>
      </w:pPr>
      <w:r>
        <w:rPr>
          <w:b/>
        </w:rPr>
        <w:t xml:space="preserve"> </w:t>
      </w:r>
    </w:p>
    <w:sectPr w:rsidR="00B507DC">
      <w:footerReference w:type="even" r:id="rId8"/>
      <w:footerReference w:type="default" r:id="rId9"/>
      <w:footerReference w:type="first" r:id="rId10"/>
      <w:pgSz w:w="11908" w:h="16836"/>
      <w:pgMar w:top="1488" w:right="1373" w:bottom="1469" w:left="1441" w:header="720"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80176" w14:textId="77777777" w:rsidR="002E18D7" w:rsidRDefault="002E18D7">
      <w:pPr>
        <w:spacing w:after="0" w:line="240" w:lineRule="auto"/>
      </w:pPr>
      <w:r>
        <w:separator/>
      </w:r>
    </w:p>
  </w:endnote>
  <w:endnote w:type="continuationSeparator" w:id="0">
    <w:p w14:paraId="3487459A" w14:textId="77777777" w:rsidR="002E18D7" w:rsidRDefault="002E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EB73" w14:textId="77777777" w:rsidR="00B507DC" w:rsidRDefault="00E706E6">
    <w:pPr>
      <w:spacing w:after="0" w:line="259" w:lineRule="auto"/>
      <w:ind w:left="0" w:right="6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DB57DE8" w14:textId="77777777" w:rsidR="00B507DC" w:rsidRDefault="00E706E6">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30D85" w14:textId="07E1991F" w:rsidR="00B507DC" w:rsidRDefault="00E706E6">
    <w:pPr>
      <w:spacing w:after="0" w:line="259" w:lineRule="auto"/>
      <w:ind w:left="0" w:right="64" w:firstLine="0"/>
      <w:jc w:val="right"/>
    </w:pPr>
    <w:r>
      <w:fldChar w:fldCharType="begin"/>
    </w:r>
    <w:r>
      <w:instrText xml:space="preserve"> PAGE   \* MERGEFORMAT </w:instrText>
    </w:r>
    <w:r>
      <w:fldChar w:fldCharType="separate"/>
    </w:r>
    <w:r w:rsidR="0057761E" w:rsidRPr="0057761E">
      <w:rPr>
        <w:noProof/>
        <w:sz w:val="22"/>
      </w:rPr>
      <w:t>13</w:t>
    </w:r>
    <w:r>
      <w:rPr>
        <w:sz w:val="22"/>
      </w:rPr>
      <w:fldChar w:fldCharType="end"/>
    </w:r>
    <w:r>
      <w:rPr>
        <w:sz w:val="22"/>
      </w:rPr>
      <w:t xml:space="preserve"> </w:t>
    </w:r>
  </w:p>
  <w:p w14:paraId="5D0A8B92" w14:textId="77777777" w:rsidR="00B507DC" w:rsidRDefault="00E706E6">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7BBD3" w14:textId="77777777" w:rsidR="00B507DC" w:rsidRDefault="00E706E6">
    <w:pPr>
      <w:spacing w:after="0" w:line="259" w:lineRule="auto"/>
      <w:ind w:left="0" w:right="6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73D617F" w14:textId="77777777" w:rsidR="00B507DC" w:rsidRDefault="00E706E6">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1DA08" w14:textId="77777777" w:rsidR="002E18D7" w:rsidRDefault="002E18D7">
      <w:pPr>
        <w:spacing w:after="0" w:line="240" w:lineRule="auto"/>
      </w:pPr>
      <w:r>
        <w:separator/>
      </w:r>
    </w:p>
  </w:footnote>
  <w:footnote w:type="continuationSeparator" w:id="0">
    <w:p w14:paraId="1FA8BBDD" w14:textId="77777777" w:rsidR="002E18D7" w:rsidRDefault="002E1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4136E"/>
    <w:multiLevelType w:val="hybridMultilevel"/>
    <w:tmpl w:val="357C540E"/>
    <w:lvl w:ilvl="0" w:tplc="F3C42E52">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7C288A">
      <w:start w:val="1"/>
      <w:numFmt w:val="bullet"/>
      <w:lvlText w:val="o"/>
      <w:lvlJc w:val="left"/>
      <w:pPr>
        <w:ind w:left="1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C3CF1E8">
      <w:start w:val="1"/>
      <w:numFmt w:val="bullet"/>
      <w:lvlText w:val="▪"/>
      <w:lvlJc w:val="left"/>
      <w:pPr>
        <w:ind w:left="2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3C768A">
      <w:start w:val="1"/>
      <w:numFmt w:val="bullet"/>
      <w:lvlText w:val="•"/>
      <w:lvlJc w:val="left"/>
      <w:pPr>
        <w:ind w:left="3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27AEDE2">
      <w:start w:val="1"/>
      <w:numFmt w:val="bullet"/>
      <w:lvlText w:val="o"/>
      <w:lvlJc w:val="left"/>
      <w:pPr>
        <w:ind w:left="3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7225E86">
      <w:start w:val="1"/>
      <w:numFmt w:val="bullet"/>
      <w:lvlText w:val="▪"/>
      <w:lvlJc w:val="left"/>
      <w:pPr>
        <w:ind w:left="4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2EB09C">
      <w:start w:val="1"/>
      <w:numFmt w:val="bullet"/>
      <w:lvlText w:val="•"/>
      <w:lvlJc w:val="left"/>
      <w:pPr>
        <w:ind w:left="5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362D14">
      <w:start w:val="1"/>
      <w:numFmt w:val="bullet"/>
      <w:lvlText w:val="o"/>
      <w:lvlJc w:val="left"/>
      <w:pPr>
        <w:ind w:left="6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7CA0B6">
      <w:start w:val="1"/>
      <w:numFmt w:val="bullet"/>
      <w:lvlText w:val="▪"/>
      <w:lvlJc w:val="left"/>
      <w:pPr>
        <w:ind w:left="6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75A69C0"/>
    <w:multiLevelType w:val="hybridMultilevel"/>
    <w:tmpl w:val="576AF062"/>
    <w:lvl w:ilvl="0" w:tplc="AA4EFE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ECB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61E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F49B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CDC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4AF6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0C29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EE1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F696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6533CB"/>
    <w:multiLevelType w:val="hybridMultilevel"/>
    <w:tmpl w:val="48B2607A"/>
    <w:lvl w:ilvl="0" w:tplc="85D4BBDE">
      <w:start w:val="1"/>
      <w:numFmt w:val="upperLetter"/>
      <w:lvlText w:val="%1-"/>
      <w:lvlJc w:val="left"/>
      <w:pPr>
        <w:ind w:left="756"/>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1" w:tplc="B0FC2310">
      <w:start w:val="1"/>
      <w:numFmt w:val="lowerLetter"/>
      <w:lvlText w:val="%2"/>
      <w:lvlJc w:val="left"/>
      <w:pPr>
        <w:ind w:left="14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2" w:tplc="61F20858">
      <w:start w:val="1"/>
      <w:numFmt w:val="lowerRoman"/>
      <w:lvlText w:val="%3"/>
      <w:lvlJc w:val="left"/>
      <w:pPr>
        <w:ind w:left="21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3" w:tplc="5ED2FABA">
      <w:start w:val="1"/>
      <w:numFmt w:val="decimal"/>
      <w:lvlText w:val="%4"/>
      <w:lvlJc w:val="left"/>
      <w:pPr>
        <w:ind w:left="28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4" w:tplc="44FE2E80">
      <w:start w:val="1"/>
      <w:numFmt w:val="lowerLetter"/>
      <w:lvlText w:val="%5"/>
      <w:lvlJc w:val="left"/>
      <w:pPr>
        <w:ind w:left="360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5" w:tplc="74DA5162">
      <w:start w:val="1"/>
      <w:numFmt w:val="lowerRoman"/>
      <w:lvlText w:val="%6"/>
      <w:lvlJc w:val="left"/>
      <w:pPr>
        <w:ind w:left="432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6" w:tplc="A56CB8CE">
      <w:start w:val="1"/>
      <w:numFmt w:val="decimal"/>
      <w:lvlText w:val="%7"/>
      <w:lvlJc w:val="left"/>
      <w:pPr>
        <w:ind w:left="50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7" w:tplc="47CA898A">
      <w:start w:val="1"/>
      <w:numFmt w:val="lowerLetter"/>
      <w:lvlText w:val="%8"/>
      <w:lvlJc w:val="left"/>
      <w:pPr>
        <w:ind w:left="57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8" w:tplc="ECBA3B4A">
      <w:start w:val="1"/>
      <w:numFmt w:val="lowerRoman"/>
      <w:lvlText w:val="%9"/>
      <w:lvlJc w:val="left"/>
      <w:pPr>
        <w:ind w:left="64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abstractNum>
  <w:abstractNum w:abstractNumId="3" w15:restartNumberingAfterBreak="0">
    <w:nsid w:val="70B935BA"/>
    <w:multiLevelType w:val="hybridMultilevel"/>
    <w:tmpl w:val="C3286D78"/>
    <w:lvl w:ilvl="0" w:tplc="37482D90">
      <w:start w:val="1"/>
      <w:numFmt w:val="upperLetter"/>
      <w:lvlText w:val="%1-"/>
      <w:lvlJc w:val="left"/>
      <w:pPr>
        <w:ind w:left="749"/>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1" w:tplc="7982E8DA">
      <w:start w:val="1"/>
      <w:numFmt w:val="lowerLetter"/>
      <w:lvlText w:val="%2"/>
      <w:lvlJc w:val="left"/>
      <w:pPr>
        <w:ind w:left="14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2" w:tplc="A7B69DA8">
      <w:start w:val="1"/>
      <w:numFmt w:val="lowerRoman"/>
      <w:lvlText w:val="%3"/>
      <w:lvlJc w:val="left"/>
      <w:pPr>
        <w:ind w:left="21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3" w:tplc="D51E8254">
      <w:start w:val="1"/>
      <w:numFmt w:val="decimal"/>
      <w:lvlText w:val="%4"/>
      <w:lvlJc w:val="left"/>
      <w:pPr>
        <w:ind w:left="28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4" w:tplc="5CFCB3CE">
      <w:start w:val="1"/>
      <w:numFmt w:val="lowerLetter"/>
      <w:lvlText w:val="%5"/>
      <w:lvlJc w:val="left"/>
      <w:pPr>
        <w:ind w:left="360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5" w:tplc="96CA326A">
      <w:start w:val="1"/>
      <w:numFmt w:val="lowerRoman"/>
      <w:lvlText w:val="%6"/>
      <w:lvlJc w:val="left"/>
      <w:pPr>
        <w:ind w:left="432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6" w:tplc="63A8AA08">
      <w:start w:val="1"/>
      <w:numFmt w:val="decimal"/>
      <w:lvlText w:val="%7"/>
      <w:lvlJc w:val="left"/>
      <w:pPr>
        <w:ind w:left="50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7" w:tplc="76344BB6">
      <w:start w:val="1"/>
      <w:numFmt w:val="lowerLetter"/>
      <w:lvlText w:val="%8"/>
      <w:lvlJc w:val="left"/>
      <w:pPr>
        <w:ind w:left="57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8" w:tplc="D51635F4">
      <w:start w:val="1"/>
      <w:numFmt w:val="lowerRoman"/>
      <w:lvlText w:val="%9"/>
      <w:lvlJc w:val="left"/>
      <w:pPr>
        <w:ind w:left="64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abstractNum>
  <w:abstractNum w:abstractNumId="4" w15:restartNumberingAfterBreak="0">
    <w:nsid w:val="7A776C16"/>
    <w:multiLevelType w:val="hybridMultilevel"/>
    <w:tmpl w:val="D090BBE6"/>
    <w:lvl w:ilvl="0" w:tplc="1B7A8A0E">
      <w:start w:val="1"/>
      <w:numFmt w:val="lowerLetter"/>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DEE3038">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088FC4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05E0F04">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B7EC622">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ED4DC2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C2268C2">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88E32C">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829844">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B44286F"/>
    <w:multiLevelType w:val="hybridMultilevel"/>
    <w:tmpl w:val="AFAAA240"/>
    <w:lvl w:ilvl="0" w:tplc="EB8E2D4C">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E5C2C4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69A5BE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1ECBA0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7B28A1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6FA537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DA4AF40">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9BA9856">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C7824E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DC"/>
    <w:rsid w:val="002E18D7"/>
    <w:rsid w:val="00351F17"/>
    <w:rsid w:val="0057761E"/>
    <w:rsid w:val="005823B6"/>
    <w:rsid w:val="005E3888"/>
    <w:rsid w:val="00711AAF"/>
    <w:rsid w:val="00812058"/>
    <w:rsid w:val="00870EBB"/>
    <w:rsid w:val="00882F12"/>
    <w:rsid w:val="0091556D"/>
    <w:rsid w:val="009B5E17"/>
    <w:rsid w:val="00B507DC"/>
    <w:rsid w:val="00D92547"/>
    <w:rsid w:val="00E623B3"/>
    <w:rsid w:val="00E70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310B"/>
  <w15:docId w15:val="{C31801D9-0A06-462D-BE58-7ABDB60C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uto"/>
      <w:ind w:left="10" w:hanging="10"/>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B30F-0086-4FFF-80B7-C22E774C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2747</Words>
  <Characters>15112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HP</cp:lastModifiedBy>
  <cp:revision>5</cp:revision>
  <cp:lastPrinted>2025-04-11T09:54:00Z</cp:lastPrinted>
  <dcterms:created xsi:type="dcterms:W3CDTF">2025-04-11T09:56:00Z</dcterms:created>
  <dcterms:modified xsi:type="dcterms:W3CDTF">2025-04-11T08:11:00Z</dcterms:modified>
</cp:coreProperties>
</file>